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D0" w:rsidRPr="00BB59EB" w:rsidRDefault="00256A80" w:rsidP="00F80C54">
      <w:pPr>
        <w:jc w:val="center"/>
        <w:rPr>
          <w:rFonts w:ascii="Times New Roman" w:hAnsi="Times New Roman" w:cs="Times New Roman"/>
          <w:b/>
          <w:sz w:val="24"/>
          <w:szCs w:val="24"/>
        </w:rPr>
      </w:pPr>
      <w:r w:rsidRPr="00BB59EB">
        <w:rPr>
          <w:rFonts w:ascii="Times New Roman" w:hAnsi="Times New Roman" w:cs="Times New Roman"/>
          <w:b/>
          <w:sz w:val="24"/>
          <w:szCs w:val="24"/>
        </w:rPr>
        <w:t>Информация о расчетных способах определения объемов электрической энергии (мощности)</w:t>
      </w:r>
    </w:p>
    <w:p w:rsidR="00256A80" w:rsidRPr="00BB59EB" w:rsidRDefault="00256A80" w:rsidP="00F80C54">
      <w:pPr>
        <w:jc w:val="both"/>
        <w:rPr>
          <w:rFonts w:ascii="Times New Roman" w:hAnsi="Times New Roman" w:cs="Times New Roman"/>
          <w:sz w:val="24"/>
          <w:szCs w:val="24"/>
        </w:rPr>
      </w:pPr>
      <w:r w:rsidRPr="00BB59EB">
        <w:rPr>
          <w:rFonts w:ascii="Times New Roman" w:hAnsi="Times New Roman" w:cs="Times New Roman"/>
          <w:sz w:val="24"/>
          <w:szCs w:val="24"/>
        </w:rPr>
        <w:tab/>
        <w:t>Согласно законодательству, определение объема потребления электроэнергии осуществляется на основании двух способов:</w:t>
      </w:r>
    </w:p>
    <w:p w:rsidR="00256A80" w:rsidRPr="00BB59EB" w:rsidRDefault="00256A80" w:rsidP="00F80C54">
      <w:pPr>
        <w:pStyle w:val="a3"/>
        <w:numPr>
          <w:ilvl w:val="0"/>
          <w:numId w:val="2"/>
        </w:numPr>
        <w:jc w:val="both"/>
        <w:rPr>
          <w:rFonts w:ascii="Times New Roman" w:hAnsi="Times New Roman" w:cs="Times New Roman"/>
          <w:sz w:val="24"/>
          <w:szCs w:val="24"/>
        </w:rPr>
      </w:pPr>
      <w:r w:rsidRPr="00BB59EB">
        <w:rPr>
          <w:rFonts w:ascii="Times New Roman" w:hAnsi="Times New Roman" w:cs="Times New Roman"/>
          <w:sz w:val="24"/>
          <w:szCs w:val="24"/>
        </w:rPr>
        <w:t xml:space="preserve">С использование  приборов учета, </w:t>
      </w:r>
      <w:proofErr w:type="gramStart"/>
      <w:r w:rsidRPr="00BB59EB">
        <w:rPr>
          <w:rFonts w:ascii="Times New Roman" w:hAnsi="Times New Roman" w:cs="Times New Roman"/>
          <w:sz w:val="24"/>
          <w:szCs w:val="24"/>
        </w:rPr>
        <w:t>входящих</w:t>
      </w:r>
      <w:proofErr w:type="gramEnd"/>
      <w:r w:rsidRPr="00BB59EB">
        <w:rPr>
          <w:rFonts w:ascii="Times New Roman" w:hAnsi="Times New Roman" w:cs="Times New Roman"/>
          <w:sz w:val="24"/>
          <w:szCs w:val="24"/>
        </w:rPr>
        <w:t xml:space="preserve"> в том числе в состав измерительных комплексов (совокупность приборов учета и измерительных трансформаторов), систем учета (например</w:t>
      </w:r>
      <w:r w:rsidR="00BF76FD" w:rsidRPr="00BB59EB">
        <w:rPr>
          <w:rFonts w:ascii="Times New Roman" w:hAnsi="Times New Roman" w:cs="Times New Roman"/>
          <w:sz w:val="24"/>
          <w:szCs w:val="24"/>
        </w:rPr>
        <w:t>:</w:t>
      </w:r>
      <w:r w:rsidRPr="00BB59EB">
        <w:rPr>
          <w:rFonts w:ascii="Times New Roman" w:hAnsi="Times New Roman" w:cs="Times New Roman"/>
          <w:sz w:val="24"/>
          <w:szCs w:val="24"/>
        </w:rPr>
        <w:t xml:space="preserve"> </w:t>
      </w:r>
      <w:proofErr w:type="gramStart"/>
      <w:r w:rsidRPr="00BB59EB">
        <w:rPr>
          <w:rFonts w:ascii="Times New Roman" w:hAnsi="Times New Roman" w:cs="Times New Roman"/>
          <w:sz w:val="24"/>
          <w:szCs w:val="24"/>
        </w:rPr>
        <w:t>АИИС КУЭ)</w:t>
      </w:r>
      <w:r w:rsidR="00BF76FD" w:rsidRPr="00BB59EB">
        <w:rPr>
          <w:rFonts w:ascii="Times New Roman" w:hAnsi="Times New Roman" w:cs="Times New Roman"/>
          <w:sz w:val="24"/>
          <w:szCs w:val="24"/>
        </w:rPr>
        <w:t>;</w:t>
      </w:r>
      <w:proofErr w:type="gramEnd"/>
    </w:p>
    <w:p w:rsidR="00BF76FD" w:rsidRPr="00BB59EB" w:rsidRDefault="00BF76FD" w:rsidP="00F80C54">
      <w:pPr>
        <w:pStyle w:val="a3"/>
        <w:numPr>
          <w:ilvl w:val="0"/>
          <w:numId w:val="2"/>
        </w:numPr>
        <w:jc w:val="both"/>
        <w:rPr>
          <w:rFonts w:ascii="Times New Roman" w:hAnsi="Times New Roman" w:cs="Times New Roman"/>
          <w:sz w:val="24"/>
          <w:szCs w:val="24"/>
        </w:rPr>
      </w:pPr>
      <w:proofErr w:type="gramStart"/>
      <w:r w:rsidRPr="00BB59EB">
        <w:rPr>
          <w:rFonts w:ascii="Times New Roman" w:hAnsi="Times New Roman" w:cs="Times New Roman"/>
          <w:sz w:val="24"/>
          <w:szCs w:val="24"/>
        </w:rPr>
        <w:t xml:space="preserve">Путем применения расчетных способов – при отсутствии приборов учета, в определенных случаев (например: при </w:t>
      </w:r>
      <w:r w:rsidR="008C3A61" w:rsidRPr="00BB59EB">
        <w:rPr>
          <w:rFonts w:ascii="Times New Roman" w:hAnsi="Times New Roman" w:cs="Times New Roman"/>
          <w:sz w:val="24"/>
          <w:szCs w:val="24"/>
        </w:rPr>
        <w:t>без</w:t>
      </w:r>
      <w:r w:rsidRPr="00BB59EB">
        <w:rPr>
          <w:rFonts w:ascii="Times New Roman" w:hAnsi="Times New Roman" w:cs="Times New Roman"/>
          <w:sz w:val="24"/>
          <w:szCs w:val="24"/>
        </w:rPr>
        <w:t>договорном, безучетном потреблении).</w:t>
      </w:r>
      <w:proofErr w:type="gramEnd"/>
    </w:p>
    <w:p w:rsidR="00256A80" w:rsidRPr="00BB59EB" w:rsidRDefault="00BF76FD" w:rsidP="00F80C54">
      <w:pPr>
        <w:ind w:firstLine="360"/>
        <w:jc w:val="both"/>
        <w:rPr>
          <w:rStyle w:val="a4"/>
          <w:rFonts w:ascii="Times New Roman" w:hAnsi="Times New Roman" w:cs="Times New Roman"/>
          <w:b w:val="0"/>
          <w:sz w:val="24"/>
          <w:szCs w:val="24"/>
        </w:rPr>
      </w:pPr>
      <w:r w:rsidRPr="00BB59EB">
        <w:rPr>
          <w:rStyle w:val="a4"/>
          <w:rFonts w:ascii="Times New Roman" w:hAnsi="Times New Roman" w:cs="Times New Roman"/>
          <w:b w:val="0"/>
          <w:sz w:val="24"/>
          <w:szCs w:val="24"/>
        </w:rPr>
        <w:t xml:space="preserve">Расчетные способы подразумевают значительное увеличение затрат на электроснабжение в сравнении с использованием приборов учета и по сути являются для потребителей штрафными санкциями в случае нарушения потребителем </w:t>
      </w:r>
      <w:hyperlink r:id="rId6" w:history="1">
        <w:r w:rsidRPr="00BB59EB">
          <w:rPr>
            <w:rStyle w:val="a5"/>
            <w:rFonts w:ascii="Times New Roman" w:hAnsi="Times New Roman" w:cs="Times New Roman"/>
            <w:bCs/>
            <w:color w:val="auto"/>
            <w:sz w:val="24"/>
            <w:szCs w:val="24"/>
          </w:rPr>
          <w:t>правил розничных рынков электроэнергии</w:t>
        </w:r>
      </w:hyperlink>
      <w:r w:rsidRPr="00BB59EB">
        <w:rPr>
          <w:rStyle w:val="a4"/>
          <w:rFonts w:ascii="Times New Roman" w:hAnsi="Times New Roman" w:cs="Times New Roman"/>
          <w:b w:val="0"/>
          <w:sz w:val="24"/>
          <w:szCs w:val="24"/>
        </w:rPr>
        <w:t>.</w:t>
      </w:r>
    </w:p>
    <w:p w:rsidR="000E518F" w:rsidRPr="000E518F" w:rsidRDefault="000E518F" w:rsidP="00F80C54">
      <w:pPr>
        <w:spacing w:before="100" w:beforeAutospacing="1" w:after="100" w:afterAutospacing="1"/>
        <w:ind w:firstLine="360"/>
        <w:jc w:val="both"/>
        <w:rPr>
          <w:rFonts w:ascii="Times New Roman" w:eastAsia="Times New Roman" w:hAnsi="Times New Roman" w:cs="Times New Roman"/>
          <w:color w:val="21262B"/>
          <w:sz w:val="24"/>
          <w:szCs w:val="24"/>
          <w:lang w:eastAsia="ru-RU"/>
        </w:rPr>
      </w:pPr>
      <w:r w:rsidRPr="000E518F">
        <w:rPr>
          <w:rFonts w:ascii="Times New Roman" w:eastAsia="Times New Roman" w:hAnsi="Times New Roman" w:cs="Times New Roman"/>
          <w:color w:val="21262B"/>
          <w:sz w:val="24"/>
          <w:szCs w:val="24"/>
          <w:lang w:eastAsia="ru-RU"/>
        </w:rPr>
        <w:t>Основными положениями функционирования розничных рынков электрической энергии, утверждёнными постановлением Правительства Российской Федерации от 04.05.2012 № 442 (далее – Основные положения), установлены следующие случаи, при которых применяются расчётные способы определения объёма потребления электрической энергии (мощности) и оказанных услуг по передаче электрической энергии: </w:t>
      </w:r>
    </w:p>
    <w:p w:rsidR="000E518F" w:rsidRPr="000E518F" w:rsidRDefault="000E518F" w:rsidP="00F80C54">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0E518F">
        <w:rPr>
          <w:rFonts w:ascii="Times New Roman" w:eastAsia="Times New Roman" w:hAnsi="Times New Roman" w:cs="Times New Roman"/>
          <w:sz w:val="24"/>
          <w:szCs w:val="24"/>
          <w:lang w:eastAsia="ru-RU"/>
        </w:rPr>
        <w:t>непредставление потребителем показаний расчетного прибора учета в сроки, установленные в договоре; </w:t>
      </w:r>
    </w:p>
    <w:p w:rsidR="000E518F" w:rsidRPr="000E518F" w:rsidRDefault="000E518F" w:rsidP="00F80C54">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proofErr w:type="gramStart"/>
      <w:r w:rsidRPr="000E518F">
        <w:rPr>
          <w:rFonts w:ascii="Times New Roman" w:eastAsia="Times New Roman" w:hAnsi="Times New Roman" w:cs="Times New Roman"/>
          <w:sz w:val="24"/>
          <w:szCs w:val="24"/>
          <w:lang w:eastAsia="ru-RU"/>
        </w:rPr>
        <w:t>двукратный</w:t>
      </w:r>
      <w:proofErr w:type="gramEnd"/>
      <w:r w:rsidRPr="000E518F">
        <w:rPr>
          <w:rFonts w:ascii="Times New Roman" w:eastAsia="Times New Roman" w:hAnsi="Times New Roman" w:cs="Times New Roman"/>
          <w:sz w:val="24"/>
          <w:szCs w:val="24"/>
          <w:lang w:eastAsia="ru-RU"/>
        </w:rPr>
        <w:t> </w:t>
      </w:r>
      <w:proofErr w:type="spellStart"/>
      <w:r w:rsidRPr="000E518F">
        <w:rPr>
          <w:rFonts w:ascii="Times New Roman" w:eastAsia="Times New Roman" w:hAnsi="Times New Roman" w:cs="Times New Roman"/>
          <w:sz w:val="24"/>
          <w:szCs w:val="24"/>
          <w:lang w:eastAsia="ru-RU"/>
        </w:rPr>
        <w:t>недопуск</w:t>
      </w:r>
      <w:proofErr w:type="spellEnd"/>
      <w:r w:rsidRPr="000E518F">
        <w:rPr>
          <w:rFonts w:ascii="Times New Roman" w:eastAsia="Times New Roman" w:hAnsi="Times New Roman" w:cs="Times New Roman"/>
          <w:sz w:val="24"/>
          <w:szCs w:val="24"/>
          <w:lang w:eastAsia="ru-RU"/>
        </w:rPr>
        <w:t>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w:t>
      </w:r>
    </w:p>
    <w:p w:rsidR="000E518F" w:rsidRPr="000E518F" w:rsidRDefault="000E518F" w:rsidP="00F80C54">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0E518F">
        <w:rPr>
          <w:rFonts w:ascii="Times New Roman" w:eastAsia="Times New Roman" w:hAnsi="Times New Roman" w:cs="Times New Roman"/>
          <w:sz w:val="24"/>
          <w:szCs w:val="24"/>
          <w:lang w:eastAsia="ru-RU"/>
        </w:rPr>
        <w:t>неисправности, утраты или истечение срока межповерочного интервала расчетного прибора учета либо его демонтаж в связи с поверкой, ремонтом или заменой;</w:t>
      </w:r>
    </w:p>
    <w:p w:rsidR="000E518F" w:rsidRPr="000E518F" w:rsidRDefault="000E518F" w:rsidP="00F80C54">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0E518F">
        <w:rPr>
          <w:rFonts w:ascii="Times New Roman" w:eastAsia="Times New Roman" w:hAnsi="Times New Roman" w:cs="Times New Roman"/>
          <w:sz w:val="24"/>
          <w:szCs w:val="24"/>
          <w:lang w:eastAsia="ru-RU"/>
        </w:rPr>
        <w:t>отсутствие прибора учета;</w:t>
      </w:r>
    </w:p>
    <w:p w:rsidR="000E518F" w:rsidRPr="00BB59EB" w:rsidRDefault="000E518F" w:rsidP="00F80C54">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0E518F">
        <w:rPr>
          <w:rFonts w:ascii="Times New Roman" w:eastAsia="Times New Roman" w:hAnsi="Times New Roman" w:cs="Times New Roman"/>
          <w:sz w:val="24"/>
          <w:szCs w:val="24"/>
          <w:lang w:eastAsia="ru-RU"/>
        </w:rPr>
        <w:t>для расчета объема безучетного потребления электрической энергии.</w:t>
      </w:r>
    </w:p>
    <w:p w:rsidR="00F80C54" w:rsidRPr="00BB59EB" w:rsidRDefault="00F80C54" w:rsidP="00F80C54">
      <w:pPr>
        <w:pStyle w:val="a8"/>
        <w:spacing w:line="276" w:lineRule="auto"/>
        <w:jc w:val="both"/>
      </w:pPr>
      <w:r w:rsidRPr="009A1365">
        <w:rPr>
          <w:b/>
          <w:bCs/>
          <w:highlight w:val="yellow"/>
        </w:rPr>
        <w:t>1. Отсутствие прибора учета</w:t>
      </w:r>
      <w:r w:rsidRPr="00BB59EB">
        <w:t xml:space="preserve"> </w:t>
      </w:r>
    </w:p>
    <w:p w:rsidR="00F80C54" w:rsidRPr="00BB59EB" w:rsidRDefault="00F80C54" w:rsidP="00F80C54">
      <w:pPr>
        <w:pStyle w:val="a8"/>
        <w:spacing w:line="276" w:lineRule="auto"/>
        <w:jc w:val="both"/>
      </w:pPr>
      <w:r w:rsidRPr="00BB59EB">
        <w:t xml:space="preserve">Для расчета объема потребления электрической энергии (мощности) в отсутствие прибора учета, (кроме случаев связанных с неисправностью, утратой или истечением срока межповерочного интервала прибора учета либо его демонтажа в связи с поверкой, ремонтом или заменой), применяется расчетный способ в зависимости от величины максимальной мощности энергопринимающих устройств потребителя в соответствующей точке поставки. </w:t>
      </w:r>
    </w:p>
    <w:p w:rsidR="00F80C54" w:rsidRPr="00BB59EB" w:rsidRDefault="00F80C54" w:rsidP="00F80C54">
      <w:pPr>
        <w:pStyle w:val="a8"/>
        <w:spacing w:line="276" w:lineRule="auto"/>
        <w:jc w:val="both"/>
      </w:pPr>
      <w:r w:rsidRPr="00BB59EB">
        <w:rPr>
          <w:b/>
          <w:bCs/>
        </w:rPr>
        <w:t xml:space="preserve">1.1. </w:t>
      </w:r>
      <w:r w:rsidRPr="00BB59EB">
        <w:t xml:space="preserve">Если в договоре энергоснабжения имеются данные о величине максимальной мощности энергопринимающих устройств, то объем электроэнергии (мощности) определяется по формуле установленной подпунктом «а» пункта 1 приложения № 3 к Основным положениям. </w:t>
      </w:r>
    </w:p>
    <w:p w:rsidR="00F80C54" w:rsidRPr="00BB59EB" w:rsidRDefault="00F80C54" w:rsidP="00F80C54">
      <w:pPr>
        <w:pStyle w:val="a8"/>
        <w:spacing w:line="276" w:lineRule="auto"/>
        <w:jc w:val="both"/>
      </w:pPr>
      <w:r w:rsidRPr="00BB59EB">
        <w:rPr>
          <w:noProof/>
        </w:rPr>
        <w:lastRenderedPageBreak/>
        <mc:AlternateContent>
          <mc:Choice Requires="wps">
            <w:drawing>
              <wp:inline distT="0" distB="0" distL="0" distR="0" wp14:anchorId="41494CE7" wp14:editId="34181D33">
                <wp:extent cx="304800" cy="304800"/>
                <wp:effectExtent l="0" t="0" r="0" b="0"/>
                <wp:docPr id="8" name="AutoShape 1" descr="https://penza.tns-e.ru/upload/medialibrary/7b0/7b0c53a0785f23adbccaeec3409a0604/index_im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penza.tns-e.ru/upload/medialibrary/7b0/7b0c53a0785f23adbccaeec3409a0604/index_img.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MLlmJ&#10;+gIAAB0GAAAOAAAAAAAAAAAAAAAAAC4CAABkcnMvZTJvRG9jLnhtbFBLAQItABQABgAIAAAAIQBM&#10;oOks2AAAAAMBAAAPAAAAAAAAAAAAAAAAAFQFAABkcnMvZG93bnJldi54bWxQSwUGAAAAAAQABADz&#10;AAAAWQYAAAAA&#10;" filled="f" stroked="f">
                <o:lock v:ext="edit" aspectratio="t"/>
                <w10:anchorlock/>
              </v:rect>
            </w:pict>
          </mc:Fallback>
        </mc:AlternateContent>
      </w:r>
      <w:r w:rsidR="00702CD4" w:rsidRPr="00BB59EB">
        <w:rPr>
          <w:noProof/>
          <w:position w:val="-8"/>
        </w:rPr>
        <w:drawing>
          <wp:inline distT="0" distB="0" distL="0" distR="0" wp14:anchorId="1C24FADB" wp14:editId="51B8686B">
            <wp:extent cx="739775" cy="246380"/>
            <wp:effectExtent l="0" t="0" r="3175" b="127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246380"/>
                    </a:xfrm>
                    <a:prstGeom prst="rect">
                      <a:avLst/>
                    </a:prstGeom>
                    <a:noFill/>
                    <a:ln>
                      <a:noFill/>
                    </a:ln>
                  </pic:spPr>
                </pic:pic>
              </a:graphicData>
            </a:graphic>
          </wp:inline>
        </w:drawing>
      </w:r>
    </w:p>
    <w:p w:rsidR="00F80C54" w:rsidRPr="00BB59EB" w:rsidRDefault="00F80C54" w:rsidP="00F80C54">
      <w:pPr>
        <w:pStyle w:val="a8"/>
        <w:spacing w:line="276" w:lineRule="auto"/>
        <w:jc w:val="both"/>
      </w:pPr>
      <w:r w:rsidRPr="00BB59EB">
        <w:rPr>
          <w:u w:val="single"/>
        </w:rPr>
        <w:t>где:</w:t>
      </w:r>
      <w:r w:rsidRPr="00BB59EB">
        <w:t xml:space="preserve"> </w:t>
      </w:r>
    </w:p>
    <w:p w:rsidR="00F80C54" w:rsidRPr="00BB59EB" w:rsidRDefault="00F80C54" w:rsidP="00F80C54">
      <w:pPr>
        <w:pStyle w:val="a8"/>
        <w:spacing w:line="276" w:lineRule="auto"/>
        <w:jc w:val="both"/>
      </w:pPr>
      <w:proofErr w:type="gramStart"/>
      <w:r w:rsidRPr="00BB59EB">
        <w:t>Р</w:t>
      </w:r>
      <w:proofErr w:type="gramEnd"/>
      <w:r w:rsidRPr="00BB59EB">
        <w:t xml:space="preserve"> макс - максимальная мощность энергопринимающих устройств, относящаяся к соответствующей точке поставки. </w:t>
      </w:r>
    </w:p>
    <w:p w:rsidR="00F80C54" w:rsidRPr="00BB59EB" w:rsidRDefault="00F80C54" w:rsidP="00F80C54">
      <w:pPr>
        <w:pStyle w:val="a8"/>
        <w:spacing w:line="276" w:lineRule="auto"/>
        <w:jc w:val="both"/>
      </w:pPr>
      <w:r w:rsidRPr="00BB59EB">
        <w:t>(Когда договором энергоснабжения определена общая величина максимальной мощности энергопринимающих устройств потребителя, но не предусмотрено ее распределение по точкам поставки, то для применения указанной формулы максимальная мощность энергопринимающих устрой</w:t>
      </w:r>
      <w:proofErr w:type="gramStart"/>
      <w:r w:rsidRPr="00BB59EB">
        <w:t>ств в гр</w:t>
      </w:r>
      <w:proofErr w:type="gramEnd"/>
      <w:r w:rsidRPr="00BB59EB">
        <w:t xml:space="preserve">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кабеля); </w:t>
      </w:r>
    </w:p>
    <w:p w:rsidR="00F80C54" w:rsidRPr="00BB59EB" w:rsidRDefault="00F80C54" w:rsidP="00F80C54">
      <w:pPr>
        <w:pStyle w:val="a8"/>
        <w:spacing w:line="276" w:lineRule="auto"/>
        <w:jc w:val="both"/>
      </w:pPr>
      <w:r w:rsidRPr="00BB59EB">
        <w:t xml:space="preserve">Т - количество часов в расчетном периоде, при определении объема потребления электрической энергии (мощности) за которые подлежат применению расчетные способы. </w:t>
      </w:r>
    </w:p>
    <w:p w:rsidR="00F80C54" w:rsidRPr="00BB59EB" w:rsidRDefault="00F80C54" w:rsidP="00F80C54">
      <w:pPr>
        <w:pStyle w:val="a8"/>
        <w:spacing w:line="276" w:lineRule="auto"/>
        <w:jc w:val="both"/>
      </w:pPr>
      <w:r w:rsidRPr="00BB59EB">
        <w:rPr>
          <w:b/>
          <w:bCs/>
        </w:rPr>
        <w:t xml:space="preserve">1.2. </w:t>
      </w:r>
      <w:r w:rsidRPr="00BB59EB">
        <w:t xml:space="preserve">Если в договоре энергоснабжения отсутствуют данные о величине максимальной мощности энергопринимающих устройств, то объем потребления электрической энергии (мощности) в соответствующей точке поставки определяется по формулам установленным подпунктом «б» пункта 1 приложения № 3 Основных положений: </w:t>
      </w:r>
    </w:p>
    <w:p w:rsidR="00F80C54" w:rsidRPr="00BB59EB" w:rsidRDefault="00F80C54" w:rsidP="00F80C54">
      <w:pPr>
        <w:pStyle w:val="a8"/>
        <w:spacing w:line="276" w:lineRule="auto"/>
        <w:jc w:val="both"/>
      </w:pPr>
      <w:r w:rsidRPr="00BB59EB">
        <w:t xml:space="preserve">- для однофазного ввода: </w:t>
      </w:r>
    </w:p>
    <w:p w:rsidR="00F80C54" w:rsidRPr="00BB59EB" w:rsidRDefault="00F80C54" w:rsidP="00F80C54">
      <w:pPr>
        <w:pStyle w:val="a8"/>
        <w:spacing w:line="276" w:lineRule="auto"/>
        <w:jc w:val="both"/>
      </w:pPr>
      <w:r w:rsidRPr="00BB59EB">
        <w:rPr>
          <w:noProof/>
        </w:rPr>
        <mc:AlternateContent>
          <mc:Choice Requires="wps">
            <w:drawing>
              <wp:inline distT="0" distB="0" distL="0" distR="0" wp14:anchorId="2A8AA7F0" wp14:editId="24597E93">
                <wp:extent cx="304800" cy="304800"/>
                <wp:effectExtent l="0" t="0" r="0" b="0"/>
                <wp:docPr id="7" name="AutoShape 2" descr="https://penza.tns-e.ru/upload/medialibrary/6c3/6c323a0a5f8d2677f06538ba515556eb/index_im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penza.tns-e.ru/upload/medialibrary/6c3/6c323a0a5f8d2677f06538ba515556eb/index_img.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VvZs&#10;BvsCAAAdBgAADgAAAAAAAAAAAAAAAAAuAgAAZHJzL2Uyb0RvYy54bWxQSwECLQAUAAYACAAAACEA&#10;TKDpLNgAAAADAQAADwAAAAAAAAAAAAAAAABVBQAAZHJzL2Rvd25yZXYueG1sUEsFBgAAAAAEAAQA&#10;8wAAAFoGAAAAAA==&#10;" filled="f" stroked="f">
                <o:lock v:ext="edit" aspectratio="t"/>
                <w10:anchorlock/>
              </v:rect>
            </w:pict>
          </mc:Fallback>
        </mc:AlternateContent>
      </w:r>
      <w:r w:rsidR="00702CD4" w:rsidRPr="00BB59EB">
        <w:rPr>
          <w:noProof/>
          <w:position w:val="-25"/>
        </w:rPr>
        <w:drawing>
          <wp:inline distT="0" distB="0" distL="0" distR="0" wp14:anchorId="1859A5D2" wp14:editId="423B29A7">
            <wp:extent cx="1837055" cy="437515"/>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055" cy="437515"/>
                    </a:xfrm>
                    <a:prstGeom prst="rect">
                      <a:avLst/>
                    </a:prstGeom>
                    <a:noFill/>
                    <a:ln>
                      <a:noFill/>
                    </a:ln>
                  </pic:spPr>
                </pic:pic>
              </a:graphicData>
            </a:graphic>
          </wp:inline>
        </w:drawing>
      </w:r>
    </w:p>
    <w:p w:rsidR="00F80C54" w:rsidRPr="00BB59EB" w:rsidRDefault="00F80C54" w:rsidP="00F80C54">
      <w:pPr>
        <w:pStyle w:val="a8"/>
        <w:spacing w:line="276" w:lineRule="auto"/>
        <w:jc w:val="both"/>
      </w:pPr>
      <w:r w:rsidRPr="00BB59EB">
        <w:t xml:space="preserve">- для трехфазного ввода: </w:t>
      </w:r>
    </w:p>
    <w:p w:rsidR="00F80C54" w:rsidRPr="00BB59EB" w:rsidRDefault="00F80C54" w:rsidP="00F80C54">
      <w:pPr>
        <w:pStyle w:val="a8"/>
        <w:spacing w:line="276" w:lineRule="auto"/>
        <w:jc w:val="both"/>
      </w:pPr>
      <w:r w:rsidRPr="00BB59EB">
        <w:rPr>
          <w:noProof/>
        </w:rPr>
        <mc:AlternateContent>
          <mc:Choice Requires="wps">
            <w:drawing>
              <wp:inline distT="0" distB="0" distL="0" distR="0" wp14:anchorId="72B9C6A1" wp14:editId="5C05FBF5">
                <wp:extent cx="304800" cy="304800"/>
                <wp:effectExtent l="0" t="0" r="0" b="0"/>
                <wp:docPr id="6" name="AutoShape 3" descr="https://penza.tns-e.ru/upload/medialibrary/2a8/2a8fd8141f2474dbb08f02015b3d7191/index_im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penza.tns-e.ru/upload/medialibrary/2a8/2a8fd8141f2474dbb08f02015b3d7191/index_img.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NMXLC&#10;+gIAAB0GAAAOAAAAAAAAAAAAAAAAAC4CAABkcnMvZTJvRG9jLnhtbFBLAQItABQABgAIAAAAIQBM&#10;oOks2AAAAAMBAAAPAAAAAAAAAAAAAAAAAFQFAABkcnMvZG93bnJldi54bWxQSwUGAAAAAAQABADz&#10;AAAAWQYAAAAA&#10;" filled="f" stroked="f">
                <o:lock v:ext="edit" aspectratio="t"/>
                <w10:anchorlock/>
              </v:rect>
            </w:pict>
          </mc:Fallback>
        </mc:AlternateContent>
      </w:r>
      <w:r w:rsidR="00702CD4" w:rsidRPr="00BB59EB">
        <w:rPr>
          <w:noProof/>
          <w:position w:val="-25"/>
        </w:rPr>
        <w:drawing>
          <wp:inline distT="0" distB="0" distL="0" distR="0" wp14:anchorId="6C9FCE60" wp14:editId="49BD3A0D">
            <wp:extent cx="1924050" cy="437515"/>
            <wp:effectExtent l="0" t="0" r="0" b="635"/>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437515"/>
                    </a:xfrm>
                    <a:prstGeom prst="rect">
                      <a:avLst/>
                    </a:prstGeom>
                    <a:noFill/>
                    <a:ln>
                      <a:noFill/>
                    </a:ln>
                  </pic:spPr>
                </pic:pic>
              </a:graphicData>
            </a:graphic>
          </wp:inline>
        </w:drawing>
      </w:r>
    </w:p>
    <w:p w:rsidR="00F80C54" w:rsidRPr="00BB59EB" w:rsidRDefault="00F80C54" w:rsidP="00F80C54">
      <w:pPr>
        <w:pStyle w:val="a8"/>
        <w:spacing w:line="276" w:lineRule="auto"/>
        <w:jc w:val="both"/>
      </w:pPr>
      <w:r w:rsidRPr="00BB59EB">
        <w:rPr>
          <w:u w:val="single"/>
        </w:rPr>
        <w:t>где:</w:t>
      </w:r>
      <w:r w:rsidRPr="00BB59EB">
        <w:t xml:space="preserve"> </w:t>
      </w:r>
    </w:p>
    <w:p w:rsidR="00F80C54" w:rsidRPr="00BB59EB" w:rsidRDefault="00F80C54" w:rsidP="00F80C54">
      <w:pPr>
        <w:pStyle w:val="a8"/>
        <w:spacing w:line="276" w:lineRule="auto"/>
        <w:jc w:val="both"/>
      </w:pPr>
      <w:r w:rsidRPr="00BB59EB">
        <w:t>I доп. дл</w:t>
      </w:r>
      <w:proofErr w:type="gramStart"/>
      <w:r w:rsidRPr="00BB59EB">
        <w:t>.</w:t>
      </w:r>
      <w:proofErr w:type="gramEnd"/>
      <w:r w:rsidRPr="00BB59EB">
        <w:t xml:space="preserve"> - </w:t>
      </w:r>
      <w:proofErr w:type="gramStart"/>
      <w:r w:rsidRPr="00BB59EB">
        <w:t>д</w:t>
      </w:r>
      <w:proofErr w:type="gramEnd"/>
      <w:r w:rsidRPr="00BB59EB">
        <w:t xml:space="preserve">опустимая длительная токовая нагрузка вводного провода (кабеля), А; </w:t>
      </w:r>
    </w:p>
    <w:p w:rsidR="00F80C54" w:rsidRPr="00BB59EB" w:rsidRDefault="00F80C54" w:rsidP="00F80C54">
      <w:pPr>
        <w:pStyle w:val="a8"/>
        <w:spacing w:line="276" w:lineRule="auto"/>
        <w:jc w:val="both"/>
      </w:pPr>
      <w:r w:rsidRPr="00BB59EB">
        <w:t>U ф. ном</w:t>
      </w:r>
      <w:proofErr w:type="gramStart"/>
      <w:r w:rsidRPr="00BB59EB">
        <w:t>.</w:t>
      </w:r>
      <w:proofErr w:type="gramEnd"/>
      <w:r w:rsidRPr="00BB59EB">
        <w:t xml:space="preserve"> - </w:t>
      </w:r>
      <w:proofErr w:type="gramStart"/>
      <w:r w:rsidRPr="00BB59EB">
        <w:t>н</w:t>
      </w:r>
      <w:proofErr w:type="gramEnd"/>
      <w:r w:rsidRPr="00BB59EB">
        <w:t xml:space="preserve">оминальное фазное напряжение, </w:t>
      </w:r>
      <w:proofErr w:type="spellStart"/>
      <w:r w:rsidRPr="00BB59EB">
        <w:t>кВ</w:t>
      </w:r>
      <w:proofErr w:type="spellEnd"/>
      <w:r w:rsidRPr="00BB59EB">
        <w:t xml:space="preserve">; </w:t>
      </w:r>
    </w:p>
    <w:p w:rsidR="00F80C54" w:rsidRPr="00BB59EB" w:rsidRDefault="00F80C54" w:rsidP="00F80C54">
      <w:pPr>
        <w:pStyle w:val="a8"/>
        <w:spacing w:line="276" w:lineRule="auto"/>
        <w:jc w:val="both"/>
      </w:pPr>
      <w:r w:rsidRPr="00BB59EB">
        <w:rPr>
          <w:noProof/>
        </w:rPr>
        <mc:AlternateContent>
          <mc:Choice Requires="wps">
            <w:drawing>
              <wp:inline distT="0" distB="0" distL="0" distR="0" wp14:anchorId="7B68E441" wp14:editId="02098229">
                <wp:extent cx="304800" cy="304800"/>
                <wp:effectExtent l="0" t="0" r="0" b="0"/>
                <wp:docPr id="5" name="AutoShape 4" descr="https://penza.tns-e.ru/upload/medialibrary/306/306f607f3c1e962064f26e03c45f0306/index_im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penza.tns-e.ru/upload/medialibrary/306/306f607f3c1e962064f26e03c45f0306/index_img.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KWWQbz5&#10;AgAAHQYAAA4AAAAAAAAAAAAAAAAALgIAAGRycy9lMm9Eb2MueG1sUEsBAi0AFAAGAAgAAAAhAEyg&#10;6SzYAAAAAwEAAA8AAAAAAAAAAAAAAAAAUwUAAGRycy9kb3ducmV2LnhtbFBLBQYAAAAABAAEAPMA&#10;AABYBgAAAAA=&#10;" filled="f" stroked="f">
                <o:lock v:ext="edit" aspectratio="t"/>
                <w10:anchorlock/>
              </v:rect>
            </w:pict>
          </mc:Fallback>
        </mc:AlternateContent>
      </w:r>
      <w:r w:rsidRPr="00BB59EB">
        <w:t xml:space="preserve">- коэффициент мощности при максимуме нагрузки. При отсутствии данных в договоре коэффициент принимается </w:t>
      </w:r>
      <w:proofErr w:type="gramStart"/>
      <w:r w:rsidRPr="00BB59EB">
        <w:t>равным</w:t>
      </w:r>
      <w:proofErr w:type="gramEnd"/>
      <w:r w:rsidRPr="00BB59EB">
        <w:t xml:space="preserve"> 0,9; </w:t>
      </w:r>
    </w:p>
    <w:p w:rsidR="00F80C54" w:rsidRPr="00BB59EB" w:rsidRDefault="00F80C54" w:rsidP="00F80C54">
      <w:pPr>
        <w:pStyle w:val="a8"/>
        <w:spacing w:line="276" w:lineRule="auto"/>
        <w:jc w:val="both"/>
      </w:pPr>
      <w:r w:rsidRPr="00BB59EB">
        <w:t xml:space="preserve">Т - количество часов в расчетном периоде, при определении объема потребления электрической энергии (мощности) за которые подлежат применению расчетные способы. </w:t>
      </w:r>
    </w:p>
    <w:p w:rsidR="00F80C54" w:rsidRPr="00BB59EB" w:rsidRDefault="00F80C54" w:rsidP="00F80C54">
      <w:pPr>
        <w:pStyle w:val="a8"/>
        <w:spacing w:line="276" w:lineRule="auto"/>
        <w:jc w:val="both"/>
      </w:pPr>
      <w:r w:rsidRPr="00BB59EB">
        <w:rPr>
          <w:b/>
          <w:bCs/>
        </w:rPr>
        <w:lastRenderedPageBreak/>
        <w:t xml:space="preserve">1.3. </w:t>
      </w:r>
      <w:r w:rsidRPr="00BB59EB">
        <w:t xml:space="preserve">Для потребителей, в расчетах с которыми используется ставка за мощность и почасовые объемы потребления электрической энергии в соответствующей точке поставки – объем используемой электроэнергии (мощности) определяется расчетным способом по формуле: </w:t>
      </w:r>
    </w:p>
    <w:p w:rsidR="00F80C54" w:rsidRPr="00BB59EB" w:rsidRDefault="00F80C54" w:rsidP="00F80C54">
      <w:pPr>
        <w:pStyle w:val="a8"/>
        <w:spacing w:line="276" w:lineRule="auto"/>
        <w:jc w:val="both"/>
      </w:pPr>
      <w:r w:rsidRPr="00BB59EB">
        <w:rPr>
          <w:noProof/>
        </w:rPr>
        <mc:AlternateContent>
          <mc:Choice Requires="wps">
            <w:drawing>
              <wp:inline distT="0" distB="0" distL="0" distR="0" wp14:anchorId="41D30BC7" wp14:editId="5877A391">
                <wp:extent cx="304800" cy="304800"/>
                <wp:effectExtent l="0" t="0" r="0" b="0"/>
                <wp:docPr id="4" name="AutoShape 5" descr="https://penza.tns-e.ru/upload/medialibrary/816/8166ab425afa30e053e9375240b5deca/index_im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penza.tns-e.ru/upload/medialibrary/816/8166ab425afa30e053e9375240b5deca/index_img.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2YLLE&#10;+gIAAB0GAAAOAAAAAAAAAAAAAAAAAC4CAABkcnMvZTJvRG9jLnhtbFBLAQItABQABgAIAAAAIQBM&#10;oOks2AAAAAMBAAAPAAAAAAAAAAAAAAAAAFQFAABkcnMvZG93bnJldi54bWxQSwUGAAAAAAQABADz&#10;AAAAWQYAAAAA&#10;" filled="f" stroked="f">
                <o:lock v:ext="edit" aspectratio="t"/>
                <w10:anchorlock/>
              </v:rect>
            </w:pict>
          </mc:Fallback>
        </mc:AlternateContent>
      </w:r>
      <w:r w:rsidR="00702CD4" w:rsidRPr="00BB59EB">
        <w:rPr>
          <w:noProof/>
          <w:position w:val="-22"/>
        </w:rPr>
        <w:drawing>
          <wp:inline distT="0" distB="0" distL="0" distR="0" wp14:anchorId="00CACD18" wp14:editId="7F2AB5E8">
            <wp:extent cx="548640" cy="334010"/>
            <wp:effectExtent l="0" t="0" r="3810" b="889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 cy="334010"/>
                    </a:xfrm>
                    <a:prstGeom prst="rect">
                      <a:avLst/>
                    </a:prstGeom>
                    <a:noFill/>
                    <a:ln>
                      <a:noFill/>
                    </a:ln>
                  </pic:spPr>
                </pic:pic>
              </a:graphicData>
            </a:graphic>
          </wp:inline>
        </w:drawing>
      </w:r>
    </w:p>
    <w:p w:rsidR="00F80C54" w:rsidRPr="00BB59EB" w:rsidRDefault="00F80C54" w:rsidP="00F80C54">
      <w:pPr>
        <w:pStyle w:val="a8"/>
        <w:spacing w:line="276" w:lineRule="auto"/>
        <w:jc w:val="both"/>
      </w:pPr>
      <w:r w:rsidRPr="00BB59EB">
        <w:rPr>
          <w:u w:val="single"/>
        </w:rPr>
        <w:t>где:</w:t>
      </w:r>
      <w:r w:rsidRPr="00BB59EB">
        <w:t xml:space="preserve"> </w:t>
      </w:r>
    </w:p>
    <w:p w:rsidR="00F80C54" w:rsidRPr="00BB59EB" w:rsidRDefault="00F80C54" w:rsidP="00F80C54">
      <w:pPr>
        <w:pStyle w:val="a8"/>
        <w:spacing w:line="276" w:lineRule="auto"/>
        <w:jc w:val="both"/>
      </w:pPr>
      <w:r w:rsidRPr="00BB59EB">
        <w:t xml:space="preserve">W - объем потребления электрической энергии в соответствующей точке поставки; </w:t>
      </w:r>
    </w:p>
    <w:p w:rsidR="00F80C54" w:rsidRPr="00BB59EB" w:rsidRDefault="00F80C54" w:rsidP="00F80C54">
      <w:pPr>
        <w:pStyle w:val="a8"/>
        <w:spacing w:line="276" w:lineRule="auto"/>
        <w:jc w:val="both"/>
      </w:pPr>
      <w:r w:rsidRPr="00BB59EB">
        <w:t xml:space="preserve">Т - количество часов в расчетном периоде, при определении объема потребления электрической энергии (мощности) за которые подлежат применению расчетные способы. </w:t>
      </w:r>
    </w:p>
    <w:p w:rsidR="00F80C54" w:rsidRPr="00BB59EB" w:rsidRDefault="00F80C54" w:rsidP="00F80C54">
      <w:pPr>
        <w:pStyle w:val="a8"/>
        <w:spacing w:line="276" w:lineRule="auto"/>
        <w:jc w:val="both"/>
      </w:pPr>
      <w:proofErr w:type="gramStart"/>
      <w:r w:rsidRPr="00BB59EB">
        <w:t>В случаях, когда точки поставки таких потребителей оборудованы интегральными приборами учета (не позволяющими измерять почасовые объемы потребления электрической энергии), то почасовые объемы потребления электроэнергии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электроэнергии, определенного за расчетный период на основании показаний интегрального прибора учета и распределенного равномерно по указанным</w:t>
      </w:r>
      <w:proofErr w:type="gramEnd"/>
      <w:r w:rsidRPr="00BB59EB">
        <w:t xml:space="preserve"> часам, и объема электрической энергии, соответствующего величине максимальной мощности энергопринимающих устройств этого потребителя в данной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w:t>
      </w:r>
    </w:p>
    <w:p w:rsidR="00F80C54" w:rsidRPr="00BB59EB" w:rsidRDefault="00F80C54" w:rsidP="00F80C54">
      <w:pPr>
        <w:pStyle w:val="a8"/>
        <w:spacing w:line="276" w:lineRule="auto"/>
        <w:jc w:val="both"/>
      </w:pPr>
      <w:proofErr w:type="gramStart"/>
      <w:r w:rsidRPr="00BB59EB">
        <w:t xml:space="preserve">Если к </w:t>
      </w:r>
      <w:proofErr w:type="spellStart"/>
      <w:r w:rsidRPr="00BB59EB">
        <w:t>энергопринимающим</w:t>
      </w:r>
      <w:proofErr w:type="spellEnd"/>
      <w:r w:rsidRPr="00BB59EB">
        <w:t xml:space="preserve"> устройствам такого потребителя технологически присоединены энергопринимающие устройства смежных субъектов электроэнергетики и в соответствии с договором энергоснабжения его объем потребления электроэнергии (мощности) определяется за вычетом объема электрической энергии (мощности), отпущенной смежным субъектам, то объем подлежащий распределению по часам суток определяется как разность объема электроэнергии, определенного за расчетный период на основании показаний прибора учета потребителя и объема электроэнергии, отпущенной</w:t>
      </w:r>
      <w:proofErr w:type="gramEnd"/>
      <w:r w:rsidRPr="00BB59EB">
        <w:t xml:space="preserve"> </w:t>
      </w:r>
      <w:proofErr w:type="gramStart"/>
      <w:r w:rsidRPr="00BB59EB">
        <w:t>смежным</w:t>
      </w:r>
      <w:proofErr w:type="gramEnd"/>
      <w:r w:rsidRPr="00BB59EB">
        <w:t xml:space="preserve"> субъектов электроэнергетики. </w:t>
      </w:r>
    </w:p>
    <w:p w:rsidR="00F80C54" w:rsidRPr="00BB59EB" w:rsidRDefault="00F80C54" w:rsidP="00F80C54">
      <w:pPr>
        <w:pStyle w:val="a8"/>
        <w:spacing w:line="276" w:lineRule="auto"/>
        <w:jc w:val="both"/>
      </w:pPr>
      <w:proofErr w:type="gramStart"/>
      <w:r w:rsidRPr="00BB59EB">
        <w:t>В отсутствие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такой объем определяется исходя из показаний контрольного прибора учета, а в случае отсутствия контрольного прибора учета,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электроэнергии такого потребителя, подлежащего распределению по часам</w:t>
      </w:r>
      <w:proofErr w:type="gramEnd"/>
      <w:r w:rsidRPr="00BB59EB">
        <w:t xml:space="preserve"> суток, принимается </w:t>
      </w:r>
      <w:proofErr w:type="gramStart"/>
      <w:r w:rsidRPr="00BB59EB">
        <w:t>равным</w:t>
      </w:r>
      <w:proofErr w:type="gramEnd"/>
      <w:r w:rsidRPr="00BB59EB">
        <w:t xml:space="preserve"> нулю. </w:t>
      </w:r>
    </w:p>
    <w:p w:rsidR="00F80C54" w:rsidRPr="00BB59EB" w:rsidRDefault="00F80C54" w:rsidP="00F80C54">
      <w:pPr>
        <w:pStyle w:val="a8"/>
        <w:spacing w:line="276" w:lineRule="auto"/>
        <w:jc w:val="both"/>
      </w:pPr>
      <w:r w:rsidRPr="00BB59EB">
        <w:lastRenderedPageBreak/>
        <w:t xml:space="preserve">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 </w:t>
      </w:r>
    </w:p>
    <w:p w:rsidR="00F80C54" w:rsidRPr="00BB59EB" w:rsidRDefault="00F80C54" w:rsidP="00F80C54">
      <w:pPr>
        <w:pStyle w:val="a8"/>
        <w:spacing w:line="276" w:lineRule="auto"/>
        <w:jc w:val="both"/>
      </w:pPr>
      <w:bookmarkStart w:id="0" w:name="5"/>
      <w:bookmarkEnd w:id="0"/>
      <w:r w:rsidRPr="00BB59EB">
        <w:rPr>
          <w:b/>
          <w:bCs/>
        </w:rPr>
        <w:t>1.4.</w:t>
      </w:r>
      <w:r w:rsidRPr="00BB59EB">
        <w:t xml:space="preserve"> </w:t>
      </w:r>
      <w:proofErr w:type="gramStart"/>
      <w:r w:rsidRPr="00BB59EB">
        <w:t>В отсутствие приборов учета у потребителей, на которых не распространяются требования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 261-ФЗ в части организации учета электрической энергии, объем потребления электрической энергии рассчитывается сетевой организацией расчетным способом, определенным в договоре энергоснабжения, а при отсутствии такого расчетного способа</w:t>
      </w:r>
      <w:proofErr w:type="gramEnd"/>
      <w:r w:rsidRPr="00BB59EB">
        <w:t xml:space="preserve"> - исходя из характерных для указанных потребителей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 </w:t>
      </w:r>
    </w:p>
    <w:p w:rsidR="00F80C54" w:rsidRPr="00BB59EB" w:rsidRDefault="00F80C54" w:rsidP="00F80C54">
      <w:pPr>
        <w:pStyle w:val="a8"/>
        <w:spacing w:line="276" w:lineRule="auto"/>
        <w:jc w:val="both"/>
      </w:pPr>
      <w:r w:rsidRPr="00BB59EB">
        <w:rPr>
          <w:b/>
          <w:bCs/>
        </w:rPr>
        <w:t>1.5.</w:t>
      </w:r>
      <w:r w:rsidRPr="00BB59EB">
        <w:t xml:space="preserve"> В </w:t>
      </w:r>
      <w:proofErr w:type="gramStart"/>
      <w:r w:rsidRPr="00BB59EB">
        <w:t>случае</w:t>
      </w:r>
      <w:proofErr w:type="gramEnd"/>
      <w:r w:rsidRPr="00BB59EB">
        <w:t xml:space="preserve">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осуществляется согласно п. 166 Основных положений в следующем порядке: </w:t>
      </w:r>
    </w:p>
    <w:p w:rsidR="00F80C54" w:rsidRPr="00BB59EB" w:rsidRDefault="00F80C54" w:rsidP="00F80C54">
      <w:pPr>
        <w:pStyle w:val="a8"/>
        <w:spacing w:line="276" w:lineRule="auto"/>
        <w:jc w:val="both"/>
      </w:pPr>
      <w:r w:rsidRPr="00BB59EB">
        <w:rPr>
          <w:b/>
          <w:bCs/>
        </w:rPr>
        <w:t xml:space="preserve">а) </w:t>
      </w:r>
      <w:r w:rsidRPr="00BB59EB">
        <w:t xml:space="preserve">при наличии контрольного прибора учета используются его показания. </w:t>
      </w:r>
    </w:p>
    <w:p w:rsidR="00F80C54" w:rsidRPr="00BB59EB" w:rsidRDefault="00F80C54" w:rsidP="00F80C54">
      <w:pPr>
        <w:pStyle w:val="a8"/>
        <w:spacing w:line="276" w:lineRule="auto"/>
        <w:jc w:val="both"/>
      </w:pPr>
      <w:proofErr w:type="gramStart"/>
      <w:r w:rsidRPr="00BB59EB">
        <w:t xml:space="preserve">При этом 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 </w:t>
      </w:r>
      <w:proofErr w:type="gramEnd"/>
    </w:p>
    <w:p w:rsidR="00F80C54" w:rsidRPr="00BB59EB" w:rsidRDefault="00F80C54" w:rsidP="00F80C54">
      <w:pPr>
        <w:pStyle w:val="a8"/>
        <w:spacing w:line="276" w:lineRule="auto"/>
        <w:jc w:val="both"/>
      </w:pPr>
      <w:proofErr w:type="gramStart"/>
      <w:r w:rsidRPr="00BB59EB">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w:t>
      </w:r>
      <w:proofErr w:type="gramEnd"/>
      <w:r w:rsidRPr="00BB59EB">
        <w:t xml:space="preserve">, с учетом следующих требований: </w:t>
      </w:r>
    </w:p>
    <w:p w:rsidR="00F80C54" w:rsidRPr="00BB59EB" w:rsidRDefault="00F80C54" w:rsidP="00F80C54">
      <w:pPr>
        <w:pStyle w:val="a8"/>
        <w:numPr>
          <w:ilvl w:val="0"/>
          <w:numId w:val="5"/>
        </w:numPr>
        <w:spacing w:line="276" w:lineRule="auto"/>
        <w:jc w:val="both"/>
      </w:pPr>
      <w:r w:rsidRPr="00BB59EB">
        <w:t xml:space="preserve">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 </w:t>
      </w:r>
    </w:p>
    <w:p w:rsidR="00F80C54" w:rsidRPr="00BB59EB" w:rsidRDefault="00F80C54" w:rsidP="00F80C54">
      <w:pPr>
        <w:pStyle w:val="a8"/>
        <w:numPr>
          <w:ilvl w:val="0"/>
          <w:numId w:val="5"/>
        </w:numPr>
        <w:spacing w:line="276" w:lineRule="auto"/>
        <w:jc w:val="both"/>
      </w:pPr>
      <w:r w:rsidRPr="00BB59EB">
        <w:t xml:space="preserve">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 </w:t>
      </w:r>
    </w:p>
    <w:p w:rsidR="00F80C54" w:rsidRPr="00BB59EB" w:rsidRDefault="00F80C54" w:rsidP="00F80C54">
      <w:pPr>
        <w:pStyle w:val="a8"/>
        <w:numPr>
          <w:ilvl w:val="0"/>
          <w:numId w:val="6"/>
        </w:numPr>
        <w:spacing w:line="276" w:lineRule="auto"/>
        <w:jc w:val="both"/>
      </w:pPr>
      <w:proofErr w:type="gramStart"/>
      <w:r w:rsidRPr="00BB59EB">
        <w:lastRenderedPageBreak/>
        <w:t>для 1-го и 2-го расчетных периодов подряд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w:t>
      </w:r>
      <w:proofErr w:type="gramEnd"/>
      <w:r w:rsidRPr="00BB59EB">
        <w:t> </w:t>
      </w:r>
      <w:proofErr w:type="gramStart"/>
      <w:r w:rsidRPr="00BB59EB">
        <w:t>основании</w:t>
      </w:r>
      <w:proofErr w:type="gramEnd"/>
      <w:r w:rsidRPr="00BB59EB">
        <w:t xml:space="preserve"> показаний расчетного прибора учета за ближайший расчетный период, когда такие показания были предоставлены; </w:t>
      </w:r>
    </w:p>
    <w:p w:rsidR="00F80C54" w:rsidRPr="00BB59EB" w:rsidRDefault="00F80C54" w:rsidP="00F80C54">
      <w:pPr>
        <w:pStyle w:val="a8"/>
        <w:numPr>
          <w:ilvl w:val="0"/>
          <w:numId w:val="6"/>
        </w:numPr>
        <w:spacing w:line="276" w:lineRule="auto"/>
        <w:jc w:val="both"/>
      </w:pPr>
      <w:proofErr w:type="gramStart"/>
      <w:r w:rsidRPr="00BB59EB">
        <w:t>для 3-го и последующих расчетных периодов подряд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w:t>
      </w:r>
      <w:proofErr w:type="gramEnd"/>
      <w:r w:rsidRPr="00BB59EB">
        <w:t xml:space="preserve">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w:t>
      </w:r>
    </w:p>
    <w:p w:rsidR="00F80C54" w:rsidRPr="00BB59EB" w:rsidRDefault="00F80C54" w:rsidP="00F80C54">
      <w:pPr>
        <w:pStyle w:val="a8"/>
        <w:spacing w:line="276" w:lineRule="auto"/>
        <w:jc w:val="both"/>
      </w:pPr>
      <w:r w:rsidRPr="00BB59EB">
        <w:t xml:space="preserve">При этом в случае если к </w:t>
      </w:r>
      <w:proofErr w:type="spellStart"/>
      <w:r w:rsidRPr="00BB59EB">
        <w:t>энергопринимающим</w:t>
      </w:r>
      <w:proofErr w:type="spellEnd"/>
      <w:r w:rsidRPr="00BB59EB">
        <w:t xml:space="preserve">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w:t>
      </w:r>
      <w:proofErr w:type="gramStart"/>
      <w:r w:rsidRPr="00BB59EB">
        <w:t>также</w:t>
      </w:r>
      <w:proofErr w:type="gramEnd"/>
      <w:r w:rsidRPr="00BB59EB">
        <w:t xml:space="preserve"> в случае если объем потребления электрической энергии (мощности) </w:t>
      </w:r>
      <w:proofErr w:type="spellStart"/>
      <w:r w:rsidRPr="00BB59EB">
        <w:t>энергопринимающими</w:t>
      </w:r>
      <w:proofErr w:type="spellEnd"/>
      <w:r w:rsidRPr="00BB59EB">
        <w:t xml:space="preserve">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w:t>
      </w:r>
      <w:proofErr w:type="gramStart"/>
      <w:r w:rsidRPr="00BB59EB">
        <w:t xml:space="preserve">в энергопринимающие устройства смежных субъектов электроэнергетики, то объем потребления электрической энергии </w:t>
      </w:r>
      <w:proofErr w:type="spellStart"/>
      <w:r w:rsidRPr="00BB59EB">
        <w:t>энергопринимающими</w:t>
      </w:r>
      <w:proofErr w:type="spellEnd"/>
      <w:r w:rsidRPr="00BB59EB">
        <w:t xml:space="preserve">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 </w:t>
      </w:r>
      <w:proofErr w:type="gramEnd"/>
    </w:p>
    <w:p w:rsidR="00F80C54" w:rsidRPr="00BB59EB" w:rsidRDefault="00F80C54" w:rsidP="00F80C54">
      <w:pPr>
        <w:pStyle w:val="a8"/>
        <w:spacing w:line="276" w:lineRule="auto"/>
        <w:jc w:val="both"/>
      </w:pPr>
      <w:proofErr w:type="gramStart"/>
      <w:r w:rsidRPr="00BB59EB">
        <w:t>В отсутствие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такой объем определяется исходя из показаний контрольного прибора учета, а в случае отсутствия контрольного прибора учета,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электроэнергии такого потребителя, подлежащего распределению по часам</w:t>
      </w:r>
      <w:proofErr w:type="gramEnd"/>
      <w:r w:rsidRPr="00BB59EB">
        <w:t xml:space="preserve"> суток, принимается </w:t>
      </w:r>
      <w:proofErr w:type="gramStart"/>
      <w:r w:rsidRPr="00BB59EB">
        <w:t>равным</w:t>
      </w:r>
      <w:proofErr w:type="gramEnd"/>
      <w:r w:rsidRPr="00BB59EB">
        <w:t xml:space="preserve"> нулю. </w:t>
      </w:r>
    </w:p>
    <w:p w:rsidR="00F80C54" w:rsidRPr="00BB59EB" w:rsidRDefault="00F80C54" w:rsidP="00F80C54">
      <w:pPr>
        <w:pStyle w:val="a8"/>
        <w:spacing w:line="276" w:lineRule="auto"/>
        <w:jc w:val="both"/>
      </w:pPr>
      <w:proofErr w:type="gramStart"/>
      <w:r w:rsidRPr="00BB59EB">
        <w:rPr>
          <w:b/>
          <w:bCs/>
        </w:rPr>
        <w:lastRenderedPageBreak/>
        <w:t xml:space="preserve">б) </w:t>
      </w:r>
      <w:r w:rsidRPr="00BB59EB">
        <w:t>при отсутствии контрольного прибора учета для 1-го и 2-го расчетных периодов подряд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w:t>
      </w:r>
      <w:proofErr w:type="gramEnd"/>
      <w:r w:rsidRPr="00BB59EB">
        <w:t xml:space="preserve"> показаний расчетного прибора учета за </w:t>
      </w:r>
      <w:proofErr w:type="spellStart"/>
      <w:r w:rsidRPr="00BB59EB">
        <w:t>лижайший</w:t>
      </w:r>
      <w:proofErr w:type="spellEnd"/>
      <w:r w:rsidRPr="00BB59EB">
        <w:t xml:space="preserve"> расчетный период, когда такие показания были предоставлены; </w:t>
      </w:r>
    </w:p>
    <w:p w:rsidR="00F80C54" w:rsidRPr="00BB59EB" w:rsidRDefault="00F80C54" w:rsidP="00F80C54">
      <w:pPr>
        <w:pStyle w:val="a8"/>
        <w:spacing w:line="276" w:lineRule="auto"/>
        <w:jc w:val="both"/>
      </w:pPr>
      <w:r w:rsidRPr="00BB59EB">
        <w:t xml:space="preserve">для 3-го и последующих расчетных периодов подряд объем потребления электрической энергии (мощности) в соответствующей точке поставки определяется расчетным способом: </w:t>
      </w:r>
    </w:p>
    <w:p w:rsidR="00F80C54" w:rsidRPr="00BB59EB" w:rsidRDefault="00F80C54" w:rsidP="00F80C54">
      <w:pPr>
        <w:pStyle w:val="a8"/>
        <w:numPr>
          <w:ilvl w:val="0"/>
          <w:numId w:val="7"/>
        </w:numPr>
        <w:spacing w:line="276" w:lineRule="auto"/>
        <w:jc w:val="both"/>
      </w:pPr>
      <w:r w:rsidRPr="00BB59EB">
        <w:t xml:space="preserve">если в договоре энергоснабжения, имеются данные о величине максимальной мощности энергопринимающих устройств потребителя - в соответствии с подпунктом «а» пункта 1 приложения № 3 Основных положений (см. п.1.1.); </w:t>
      </w:r>
    </w:p>
    <w:p w:rsidR="00F80C54" w:rsidRPr="00BB59EB" w:rsidRDefault="00F80C54" w:rsidP="00F80C54">
      <w:pPr>
        <w:pStyle w:val="a8"/>
        <w:numPr>
          <w:ilvl w:val="0"/>
          <w:numId w:val="7"/>
        </w:numPr>
        <w:spacing w:line="276" w:lineRule="auto"/>
        <w:jc w:val="both"/>
      </w:pPr>
      <w:r w:rsidRPr="00BB59EB">
        <w:t>если в договоре энергоснабжения, отсутствуют данные о величине максимальной мощности энергопринимающих устройств потребителя - в соответствии с подпунктом «б» пункта 1 приложения № 3 Основных положений (</w:t>
      </w:r>
      <w:proofErr w:type="spellStart"/>
      <w:r w:rsidRPr="00BB59EB">
        <w:t>см.п</w:t>
      </w:r>
      <w:proofErr w:type="spellEnd"/>
      <w:r w:rsidRPr="00BB59EB">
        <w:t xml:space="preserve">. 1.2.). </w:t>
      </w:r>
    </w:p>
    <w:p w:rsidR="00F80C54" w:rsidRPr="00BB59EB" w:rsidRDefault="00F80C54" w:rsidP="00F80C54">
      <w:pPr>
        <w:pStyle w:val="a8"/>
        <w:spacing w:line="276" w:lineRule="auto"/>
        <w:jc w:val="both"/>
      </w:pPr>
      <w:r w:rsidRPr="00BB59EB">
        <w:rPr>
          <w:b/>
          <w:bCs/>
        </w:rPr>
        <w:t>1.5.1. а)</w:t>
      </w:r>
      <w:r w:rsidRPr="00BB59EB">
        <w:t xml:space="preserve"> В </w:t>
      </w:r>
      <w:proofErr w:type="gramStart"/>
      <w:r w:rsidRPr="00BB59EB">
        <w:t>случае</w:t>
      </w:r>
      <w:proofErr w:type="gramEnd"/>
      <w:r w:rsidRPr="00BB59EB">
        <w:t xml:space="preserve">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 </w:t>
      </w:r>
    </w:p>
    <w:p w:rsidR="00F80C54" w:rsidRPr="00BB59EB" w:rsidRDefault="00F80C54" w:rsidP="00F80C54">
      <w:pPr>
        <w:pStyle w:val="a8"/>
        <w:numPr>
          <w:ilvl w:val="0"/>
          <w:numId w:val="8"/>
        </w:numPr>
        <w:spacing w:line="276" w:lineRule="auto"/>
        <w:jc w:val="both"/>
      </w:pPr>
      <w:proofErr w:type="gramStart"/>
      <w:r w:rsidRPr="00BB59EB">
        <w:t>с даты выхода</w:t>
      </w:r>
      <w:proofErr w:type="gramEnd"/>
      <w:r w:rsidRPr="00BB59EB">
        <w:t xml:space="preserve"> расчетного прибора учета из строя и в течение одного расчетного периода после этого - в порядке, установленном </w:t>
      </w:r>
      <w:hyperlink r:id="rId11" w:history="1">
        <w:r w:rsidRPr="00BB59EB">
          <w:rPr>
            <w:rStyle w:val="a5"/>
          </w:rPr>
          <w:t>п.</w:t>
        </w:r>
      </w:hyperlink>
      <w:r w:rsidRPr="00BB59EB">
        <w:t xml:space="preserve"> 166 Основных положений для определения таких объемов в течение первых 2 расчетных периодов в случае непредставления показаний прибора учета в установленные сроки; </w:t>
      </w:r>
    </w:p>
    <w:p w:rsidR="00F80C54" w:rsidRPr="00BB59EB" w:rsidRDefault="00F80C54" w:rsidP="00F80C54">
      <w:pPr>
        <w:pStyle w:val="a8"/>
        <w:numPr>
          <w:ilvl w:val="0"/>
          <w:numId w:val="8"/>
        </w:numPr>
        <w:spacing w:line="276" w:lineRule="auto"/>
        <w:jc w:val="both"/>
      </w:pPr>
      <w:r w:rsidRPr="00BB59EB">
        <w:t xml:space="preserve">в последующие расчетные периоды вплоть до допуска расчетного прибора учета в эксплуатацию - в порядке, установленном п. 166 Основных положений для определения таких объемов начиная с 3-го расчетного периода для случая непредставления показаний прибора учета в установленные сроки. </w:t>
      </w:r>
    </w:p>
    <w:p w:rsidR="00F80C54" w:rsidRPr="00BB59EB" w:rsidRDefault="00F80C54" w:rsidP="00F80C54">
      <w:pPr>
        <w:pStyle w:val="a8"/>
        <w:spacing w:line="276" w:lineRule="auto"/>
        <w:jc w:val="both"/>
      </w:pPr>
      <w:r w:rsidRPr="00BB59EB">
        <w:t xml:space="preserve">При этом в отношении потребителей, осуществляющих расчеты за электроэнергию (мощность) </w:t>
      </w:r>
      <w:proofErr w:type="spellStart"/>
      <w:r w:rsidRPr="00BB59EB">
        <w:t>с</w:t>
      </w:r>
      <w:proofErr w:type="gramStart"/>
      <w:r w:rsidRPr="00BB59EB">
        <w:t>v</w:t>
      </w:r>
      <w:proofErr w:type="gramEnd"/>
      <w:r w:rsidRPr="00BB59EB">
        <w:t>применением</w:t>
      </w:r>
      <w:proofErr w:type="spellEnd"/>
      <w:r w:rsidRPr="00BB59EB">
        <w:t xml:space="preserve"> цены (тарифа), дифференцированной по зонам суток, показания контрольного прибора учета используются только в том случае, если контрольный прибор учета позволяет измерять объемы потребления электрической энергии по зонам суток. </w:t>
      </w:r>
    </w:p>
    <w:p w:rsidR="00F80C54" w:rsidRPr="00BB59EB" w:rsidRDefault="00F80C54" w:rsidP="00F80C54">
      <w:pPr>
        <w:pStyle w:val="a8"/>
        <w:spacing w:line="276" w:lineRule="auto"/>
        <w:jc w:val="both"/>
      </w:pPr>
      <w:proofErr w:type="gramStart"/>
      <w:r w:rsidRPr="00BB59EB">
        <w:t xml:space="preserve">Если контрольный прибор учета является интегральным, то для определения почасовых объемов в соответствующей точке поставки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w:t>
      </w:r>
      <w:r w:rsidRPr="00BB59EB">
        <w:lastRenderedPageBreak/>
        <w:t>отсутствии</w:t>
      </w:r>
      <w:proofErr w:type="gramEnd"/>
      <w:r w:rsidRPr="00BB59EB">
        <w:t xml:space="preserve">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 </w:t>
      </w:r>
    </w:p>
    <w:p w:rsidR="00F80C54" w:rsidRPr="00BB59EB" w:rsidRDefault="00F80C54" w:rsidP="00F80C54">
      <w:pPr>
        <w:pStyle w:val="a8"/>
        <w:spacing w:line="276" w:lineRule="auto"/>
        <w:jc w:val="both"/>
      </w:pPr>
      <w:r w:rsidRPr="00BB59EB">
        <w:rPr>
          <w:i/>
          <w:iCs/>
        </w:rPr>
        <w:t>- при отсутствии контрольного прибора учета –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r w:rsidRPr="00BB59EB">
        <w:t xml:space="preserve"> </w:t>
      </w:r>
    </w:p>
    <w:p w:rsidR="00F80C54" w:rsidRPr="00BB59EB" w:rsidRDefault="00F80C54" w:rsidP="00F80C54">
      <w:pPr>
        <w:pStyle w:val="a8"/>
        <w:spacing w:line="276" w:lineRule="auto"/>
        <w:jc w:val="both"/>
      </w:pPr>
      <w:r w:rsidRPr="00BB59EB">
        <w:rPr>
          <w:b/>
          <w:bCs/>
        </w:rPr>
        <w:t>б)</w:t>
      </w:r>
      <w:r w:rsidRPr="00BB59EB">
        <w:t xml:space="preserve"> В последующие расчетные периоды (после одного расчетного периода следующего за месяцем, в течение которого расчетный прибор учета вышел из строя) вплоть до допуска расчетного прибора учета в эксплуатацию: </w:t>
      </w:r>
    </w:p>
    <w:p w:rsidR="00F80C54" w:rsidRPr="00BB59EB" w:rsidRDefault="00F80C54" w:rsidP="00F80C54">
      <w:pPr>
        <w:pStyle w:val="a8"/>
        <w:spacing w:line="276" w:lineRule="auto"/>
        <w:jc w:val="both"/>
      </w:pPr>
      <w:r w:rsidRPr="00BB59EB">
        <w:t xml:space="preserve">- </w:t>
      </w:r>
      <w:r w:rsidRPr="00BB59EB">
        <w:rPr>
          <w:i/>
          <w:iCs/>
        </w:rPr>
        <w:t>при наличии контрольного прибора учета – по показаниям контрольного прибора учета</w:t>
      </w:r>
      <w:r w:rsidRPr="00BB59EB">
        <w:t xml:space="preserve">. </w:t>
      </w:r>
    </w:p>
    <w:p w:rsidR="00F80C54" w:rsidRPr="00BB59EB" w:rsidRDefault="00F80C54" w:rsidP="00F80C54">
      <w:pPr>
        <w:pStyle w:val="a8"/>
        <w:spacing w:line="276" w:lineRule="auto"/>
        <w:jc w:val="both"/>
      </w:pPr>
      <w:r w:rsidRPr="00BB59EB">
        <w:t xml:space="preserve">При этом в отношении потребителя, осуществляющего расчеты за электрическую энергию (мощность) с применением цены (тарифа), дифференцированной по зонам суток, показания контрольного прибора учета используются только в том случае, если контрольный прибор учета позволяет измерять объемы потребления электрической энергии по зонам суток. </w:t>
      </w:r>
    </w:p>
    <w:p w:rsidR="00F80C54" w:rsidRPr="00BB59EB" w:rsidRDefault="00F80C54" w:rsidP="00F80C54">
      <w:pPr>
        <w:pStyle w:val="a8"/>
        <w:spacing w:line="276" w:lineRule="auto"/>
        <w:jc w:val="both"/>
      </w:pPr>
      <w:proofErr w:type="gramStart"/>
      <w:r w:rsidRPr="00BB59EB">
        <w:t xml:space="preserve">Если к </w:t>
      </w:r>
      <w:proofErr w:type="spellStart"/>
      <w:r w:rsidRPr="00BB59EB">
        <w:t>энергопринимающим</w:t>
      </w:r>
      <w:proofErr w:type="spellEnd"/>
      <w:r w:rsidRPr="00BB59EB">
        <w:t xml:space="preserve"> устройствам потребителя, технологически присоединены энергопринимающие устройства смежных субъектов электроэнергетики, с учетом потребления которых определяется объем электропотребления такого потребителя, то использованный этим потребителем объем электрической энергии, подлежащий распределению по часам суток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отпущенного в энергопринимающие устройства смежных субъектов</w:t>
      </w:r>
      <w:proofErr w:type="gramEnd"/>
      <w:r w:rsidRPr="00BB59EB">
        <w:t xml:space="preserve"> электроэнергетики. </w:t>
      </w:r>
    </w:p>
    <w:p w:rsidR="00F80C54" w:rsidRPr="00BB59EB" w:rsidRDefault="00F80C54" w:rsidP="00F80C54">
      <w:pPr>
        <w:pStyle w:val="a8"/>
        <w:spacing w:line="276" w:lineRule="auto"/>
        <w:jc w:val="both"/>
      </w:pPr>
      <w:r w:rsidRPr="00BB59EB">
        <w:t xml:space="preserve">- </w:t>
      </w:r>
      <w:r w:rsidRPr="00BB59EB">
        <w:rPr>
          <w:i/>
          <w:iCs/>
        </w:rPr>
        <w:t>при отсутствии контрольного прибора учета объем потребления электрической энергии (мощности) в соответствующей точке поставки определяется расчетным способом:</w:t>
      </w:r>
      <w:r w:rsidRPr="00BB59EB">
        <w:t xml:space="preserve"> </w:t>
      </w:r>
    </w:p>
    <w:p w:rsidR="00F80C54" w:rsidRPr="00BB59EB" w:rsidRDefault="00F80C54" w:rsidP="00F80C54">
      <w:pPr>
        <w:pStyle w:val="a8"/>
        <w:numPr>
          <w:ilvl w:val="0"/>
          <w:numId w:val="9"/>
        </w:numPr>
        <w:spacing w:line="276" w:lineRule="auto"/>
        <w:jc w:val="both"/>
      </w:pPr>
      <w:r w:rsidRPr="00BB59EB">
        <w:t xml:space="preserve">если в договоре энергоснабжения, имеются данные о величине максимальной мощности энергопринимающих устройств потребителя - в соответствии с подпунктом «а» пункта 1 приложения № 3 Основных положений (см. п.1.1.). </w:t>
      </w:r>
    </w:p>
    <w:p w:rsidR="00F80C54" w:rsidRPr="00BB59EB" w:rsidRDefault="00F80C54" w:rsidP="00F80C54">
      <w:pPr>
        <w:pStyle w:val="a8"/>
        <w:numPr>
          <w:ilvl w:val="0"/>
          <w:numId w:val="9"/>
        </w:numPr>
        <w:spacing w:line="276" w:lineRule="auto"/>
        <w:jc w:val="both"/>
      </w:pPr>
      <w:r w:rsidRPr="00BB59EB">
        <w:t xml:space="preserve">если в договоре энергоснабжения, отсутствуют данные о величине максимальной мощности энергопринимающих устройств потребителя - в соответствии с подпунктом «б» пункта 1 приложения № 3 Основных положений (см. п.1.2.). </w:t>
      </w:r>
    </w:p>
    <w:p w:rsidR="00F80C54" w:rsidRPr="00BB59EB" w:rsidRDefault="00F80C54" w:rsidP="00F80C54">
      <w:pPr>
        <w:pStyle w:val="a8"/>
        <w:spacing w:line="276" w:lineRule="auto"/>
        <w:jc w:val="both"/>
      </w:pPr>
      <w:r w:rsidRPr="009A1365">
        <w:rPr>
          <w:b/>
          <w:bCs/>
          <w:highlight w:val="yellow"/>
        </w:rPr>
        <w:t xml:space="preserve">2. </w:t>
      </w:r>
      <w:proofErr w:type="spellStart"/>
      <w:r w:rsidRPr="009A1365">
        <w:rPr>
          <w:b/>
          <w:bCs/>
          <w:highlight w:val="yellow"/>
        </w:rPr>
        <w:t>Непредоставление</w:t>
      </w:r>
      <w:proofErr w:type="spellEnd"/>
      <w:r w:rsidRPr="009A1365">
        <w:rPr>
          <w:b/>
          <w:bCs/>
          <w:highlight w:val="yellow"/>
        </w:rPr>
        <w:t xml:space="preserve"> показаний прибора учета.</w:t>
      </w:r>
      <w:r w:rsidRPr="00BB59EB">
        <w:t xml:space="preserve"> </w:t>
      </w:r>
    </w:p>
    <w:p w:rsidR="00F80C54" w:rsidRPr="00BB59EB" w:rsidRDefault="00F80C54" w:rsidP="00F80C54">
      <w:pPr>
        <w:pStyle w:val="a8"/>
        <w:spacing w:line="276" w:lineRule="auto"/>
        <w:jc w:val="both"/>
      </w:pPr>
      <w:r w:rsidRPr="00BB59EB">
        <w:t xml:space="preserve">В </w:t>
      </w:r>
      <w:proofErr w:type="gramStart"/>
      <w:r w:rsidRPr="00BB59EB">
        <w:t>случае</w:t>
      </w:r>
      <w:proofErr w:type="gramEnd"/>
      <w:r w:rsidRPr="00BB59EB">
        <w:t xml:space="preserve"> непредставления потребителем показаний расчетного прибора учета расчет производится согласно </w:t>
      </w:r>
      <w:hyperlink r:id="rId12" w:anchor="5" w:history="1">
        <w:r w:rsidRPr="00BB59EB">
          <w:rPr>
            <w:rStyle w:val="a5"/>
          </w:rPr>
          <w:t>пункта 166</w:t>
        </w:r>
      </w:hyperlink>
      <w:r w:rsidRPr="00BB59EB">
        <w:t xml:space="preserve"> Основных положений. </w:t>
      </w:r>
    </w:p>
    <w:p w:rsidR="00F80C54" w:rsidRPr="00BB59EB" w:rsidRDefault="00F80C54" w:rsidP="00F80C54">
      <w:pPr>
        <w:pStyle w:val="a8"/>
        <w:spacing w:line="276" w:lineRule="auto"/>
        <w:jc w:val="both"/>
      </w:pPr>
      <w:r w:rsidRPr="009A1365">
        <w:rPr>
          <w:b/>
          <w:bCs/>
          <w:highlight w:val="yellow"/>
        </w:rPr>
        <w:lastRenderedPageBreak/>
        <w:t xml:space="preserve">3. </w:t>
      </w:r>
      <w:proofErr w:type="spellStart"/>
      <w:r w:rsidRPr="009A1365">
        <w:rPr>
          <w:b/>
          <w:bCs/>
          <w:highlight w:val="yellow"/>
        </w:rPr>
        <w:t>Недопуск</w:t>
      </w:r>
      <w:proofErr w:type="spellEnd"/>
      <w:r w:rsidRPr="009A1365">
        <w:rPr>
          <w:b/>
          <w:bCs/>
          <w:highlight w:val="yellow"/>
        </w:rPr>
        <w:t xml:space="preserve"> к прибору учета представителей уполномоченных организаций для проведения контрольного снятия показаний и проверки его состояния</w:t>
      </w:r>
      <w:r w:rsidRPr="00BB59EB">
        <w:t xml:space="preserve"> </w:t>
      </w:r>
    </w:p>
    <w:p w:rsidR="00F80C54" w:rsidRPr="00BB59EB" w:rsidRDefault="00F80C54" w:rsidP="00F80C54">
      <w:pPr>
        <w:pStyle w:val="a8"/>
        <w:spacing w:line="276" w:lineRule="auto"/>
        <w:jc w:val="both"/>
      </w:pPr>
      <w:proofErr w:type="gramStart"/>
      <w:r w:rsidRPr="00BB59EB">
        <w:t xml:space="preserve">В случае 2-кратного </w:t>
      </w:r>
      <w:proofErr w:type="spellStart"/>
      <w:r w:rsidRPr="00BB59EB">
        <w:t>недопуска</w:t>
      </w:r>
      <w:proofErr w:type="spellEnd"/>
      <w:r w:rsidRPr="00BB59EB">
        <w:t xml:space="preserve">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w:t>
      </w:r>
      <w:proofErr w:type="spellStart"/>
      <w:r w:rsidRPr="00BB59EB">
        <w:t>недопуска</w:t>
      </w:r>
      <w:proofErr w:type="spellEnd"/>
      <w:r w:rsidRPr="00BB59EB">
        <w:t>, вплоть до даты допуска к расчетному прибору учета определяется в порядке, установленном пунктом 166 Основных положений</w:t>
      </w:r>
      <w:proofErr w:type="gramEnd"/>
      <w:r w:rsidRPr="00BB59EB">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 </w:t>
      </w:r>
    </w:p>
    <w:p w:rsidR="00F80C54" w:rsidRPr="00BB59EB" w:rsidRDefault="00F80C54" w:rsidP="00F80C54">
      <w:pPr>
        <w:pStyle w:val="a8"/>
        <w:spacing w:line="276" w:lineRule="auto"/>
        <w:jc w:val="both"/>
      </w:pPr>
      <w:r w:rsidRPr="009A1365">
        <w:rPr>
          <w:b/>
          <w:bCs/>
          <w:highlight w:val="yellow"/>
        </w:rPr>
        <w:t>4. Выявление фактов безучетного потребления электроэнергии</w:t>
      </w:r>
      <w:r w:rsidRPr="00BB59EB">
        <w:t xml:space="preserve"> </w:t>
      </w:r>
    </w:p>
    <w:p w:rsidR="00F80C54" w:rsidRPr="00BB59EB" w:rsidRDefault="00F80C54" w:rsidP="00F80C54">
      <w:pPr>
        <w:pStyle w:val="a8"/>
        <w:spacing w:line="276" w:lineRule="auto"/>
        <w:jc w:val="both"/>
      </w:pPr>
      <w:proofErr w:type="gramStart"/>
      <w:r w:rsidRPr="00BB59EB">
        <w:t xml:space="preserve">С даты составления акта о неучтенном потреблении электрической энергии объем потребления электрической энергии (мощности) определяются: расчетным способом, в соответствии </w:t>
      </w:r>
      <w:hyperlink r:id="rId13" w:anchor="1" w:history="1">
        <w:r w:rsidRPr="00BB59EB">
          <w:rPr>
            <w:rStyle w:val="a5"/>
          </w:rPr>
          <w:t>с подпунктом «а» пункта 1 приложения № 3 Основных положений</w:t>
        </w:r>
      </w:hyperlink>
      <w:r w:rsidRPr="00BB59EB">
        <w:t xml:space="preserve">,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w:t>
      </w:r>
      <w:hyperlink r:id="rId14" w:anchor="1" w:history="1">
        <w:r w:rsidRPr="00BB59EB">
          <w:rPr>
            <w:rStyle w:val="a5"/>
          </w:rPr>
          <w:t>с подпунктом «б» пункта 1 приложения № 3 Основных положений</w:t>
        </w:r>
      </w:hyperlink>
      <w:r w:rsidRPr="00BB59EB">
        <w:t xml:space="preserve">. </w:t>
      </w:r>
      <w:proofErr w:type="gramEnd"/>
    </w:p>
    <w:p w:rsidR="00F80C54" w:rsidRPr="00BB59EB" w:rsidRDefault="00F80C54" w:rsidP="00F80C54">
      <w:pPr>
        <w:pStyle w:val="a8"/>
        <w:spacing w:line="276" w:lineRule="auto"/>
        <w:jc w:val="both"/>
      </w:pPr>
      <w:r w:rsidRPr="009A1365">
        <w:rPr>
          <w:b/>
          <w:bCs/>
          <w:highlight w:val="yellow"/>
        </w:rPr>
        <w:t>5. Выявление фактов бездоговорного потребления электроэнергии</w:t>
      </w:r>
      <w:bookmarkStart w:id="1" w:name="_GoBack"/>
      <w:bookmarkEnd w:id="1"/>
      <w:r w:rsidRPr="00BB59EB">
        <w:rPr>
          <w:b/>
          <w:bCs/>
        </w:rPr>
        <w:t>.</w:t>
      </w:r>
      <w:r w:rsidRPr="00BB59EB">
        <w:t xml:space="preserve"> </w:t>
      </w:r>
    </w:p>
    <w:p w:rsidR="00F80C54" w:rsidRPr="00BB59EB" w:rsidRDefault="00F80C54" w:rsidP="00F80C54">
      <w:pPr>
        <w:pStyle w:val="a8"/>
        <w:spacing w:line="276" w:lineRule="auto"/>
        <w:jc w:val="both"/>
      </w:pPr>
      <w:r w:rsidRPr="00BB59EB">
        <w:t xml:space="preserve">Объем бездоговорного потребления электрической энергии определяется за период времени, в течение которого осуществлялось бездоговорное потребление электрической энергии, расчетным способом, исходя из величины допустимой длительной токовой нагрузки каждого вводного провода (кабеля) по формулам: </w:t>
      </w:r>
    </w:p>
    <w:p w:rsidR="00F80C54" w:rsidRPr="00BB59EB" w:rsidRDefault="00F80C54" w:rsidP="00F80C54">
      <w:pPr>
        <w:pStyle w:val="a8"/>
        <w:spacing w:line="276" w:lineRule="auto"/>
        <w:jc w:val="both"/>
      </w:pPr>
      <w:r w:rsidRPr="00BB59EB">
        <w:t xml:space="preserve">- для однофазного ввода: </w:t>
      </w:r>
    </w:p>
    <w:p w:rsidR="00F80C54" w:rsidRPr="00BB59EB" w:rsidRDefault="00F80C54" w:rsidP="00F80C54">
      <w:pPr>
        <w:pStyle w:val="a8"/>
        <w:spacing w:line="276" w:lineRule="auto"/>
        <w:jc w:val="both"/>
      </w:pPr>
      <w:r w:rsidRPr="00BB59EB">
        <w:rPr>
          <w:noProof/>
        </w:rPr>
        <mc:AlternateContent>
          <mc:Choice Requires="wps">
            <w:drawing>
              <wp:inline distT="0" distB="0" distL="0" distR="0" wp14:anchorId="24917B39" wp14:editId="7C30F4F9">
                <wp:extent cx="304800" cy="304800"/>
                <wp:effectExtent l="0" t="0" r="0" b="0"/>
                <wp:docPr id="3" name="AutoShape 6" descr="https://penza.tns-e.ru/upload/medialibrary/75b/75b41de94dde94ac3289e20eb0b06189/index_im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penza.tns-e.ru/upload/medialibrary/75b/75b41de94dde94ac3289e20eb0b06189/index_img.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cVGlvgC&#10;AAAdBgAADgAAAAAAAAAAAAAAAAAuAgAAZHJzL2Uyb0RvYy54bWxQSwECLQAUAAYACAAAACEATKDp&#10;LNgAAAADAQAADwAAAAAAAAAAAAAAAABSBQAAZHJzL2Rvd25yZXYueG1sUEsFBgAAAAAEAAQA8wAA&#10;AFcGAAAAAA==&#10;" filled="f" stroked="f">
                <o:lock v:ext="edit" aspectratio="t"/>
                <w10:anchorlock/>
              </v:rect>
            </w:pict>
          </mc:Fallback>
        </mc:AlternateContent>
      </w:r>
      <w:r w:rsidR="00954A58" w:rsidRPr="00BB59EB">
        <w:rPr>
          <w:noProof/>
          <w:position w:val="-25"/>
        </w:rPr>
        <w:drawing>
          <wp:inline distT="0" distB="0" distL="0" distR="0" wp14:anchorId="7D32E84B" wp14:editId="25067E8F">
            <wp:extent cx="1837055" cy="437515"/>
            <wp:effectExtent l="0" t="0" r="0" b="635"/>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055" cy="437515"/>
                    </a:xfrm>
                    <a:prstGeom prst="rect">
                      <a:avLst/>
                    </a:prstGeom>
                    <a:noFill/>
                    <a:ln>
                      <a:noFill/>
                    </a:ln>
                  </pic:spPr>
                </pic:pic>
              </a:graphicData>
            </a:graphic>
          </wp:inline>
        </w:drawing>
      </w:r>
    </w:p>
    <w:p w:rsidR="00F80C54" w:rsidRPr="00BB59EB" w:rsidRDefault="00F80C54" w:rsidP="00F80C54">
      <w:pPr>
        <w:pStyle w:val="a8"/>
        <w:spacing w:line="276" w:lineRule="auto"/>
        <w:jc w:val="both"/>
      </w:pPr>
      <w:r w:rsidRPr="00BB59EB">
        <w:t xml:space="preserve">- для трехфазного ввода: </w:t>
      </w:r>
    </w:p>
    <w:p w:rsidR="00F80C54" w:rsidRPr="00BB59EB" w:rsidRDefault="00F80C54" w:rsidP="00F80C54">
      <w:pPr>
        <w:pStyle w:val="a8"/>
        <w:spacing w:line="276" w:lineRule="auto"/>
        <w:jc w:val="both"/>
      </w:pPr>
      <w:r w:rsidRPr="00BB59EB">
        <w:rPr>
          <w:noProof/>
        </w:rPr>
        <mc:AlternateContent>
          <mc:Choice Requires="wps">
            <w:drawing>
              <wp:inline distT="0" distB="0" distL="0" distR="0" wp14:anchorId="0531EA6D" wp14:editId="66FB0D18">
                <wp:extent cx="304800" cy="304800"/>
                <wp:effectExtent l="0" t="0" r="0" b="0"/>
                <wp:docPr id="2" name="AutoShape 7" descr="https://penza.tns-e.ru/upload/medialibrary/bc6/bc6565d582791e36acab874f6ddf2abb/index_im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penza.tns-e.ru/upload/medialibrary/bc6/bc6565d582791e36acab874f6ddf2abb/index_img.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16c7&#10;/PsCAAAdBgAADgAAAAAAAAAAAAAAAAAuAgAAZHJzL2Uyb0RvYy54bWxQSwECLQAUAAYACAAAACEA&#10;TKDpLNgAAAADAQAADwAAAAAAAAAAAAAAAABVBQAAZHJzL2Rvd25yZXYueG1sUEsFBgAAAAAEAAQA&#10;8wAAAFoGAAAAAA==&#10;" filled="f" stroked="f">
                <o:lock v:ext="edit" aspectratio="t"/>
                <w10:anchorlock/>
              </v:rect>
            </w:pict>
          </mc:Fallback>
        </mc:AlternateContent>
      </w:r>
      <w:r w:rsidR="00954A58" w:rsidRPr="00BB59EB">
        <w:rPr>
          <w:noProof/>
          <w:position w:val="-25"/>
        </w:rPr>
        <w:drawing>
          <wp:inline distT="0" distB="0" distL="0" distR="0" wp14:anchorId="48324615" wp14:editId="4BB770D7">
            <wp:extent cx="1924050" cy="437515"/>
            <wp:effectExtent l="0" t="0" r="0" b="635"/>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437515"/>
                    </a:xfrm>
                    <a:prstGeom prst="rect">
                      <a:avLst/>
                    </a:prstGeom>
                    <a:noFill/>
                    <a:ln>
                      <a:noFill/>
                    </a:ln>
                  </pic:spPr>
                </pic:pic>
              </a:graphicData>
            </a:graphic>
          </wp:inline>
        </w:drawing>
      </w:r>
    </w:p>
    <w:p w:rsidR="00F80C54" w:rsidRPr="00BB59EB" w:rsidRDefault="00F80C54" w:rsidP="00F80C54">
      <w:pPr>
        <w:pStyle w:val="a8"/>
        <w:spacing w:line="276" w:lineRule="auto"/>
        <w:jc w:val="both"/>
      </w:pPr>
      <w:r w:rsidRPr="00BB59EB">
        <w:rPr>
          <w:u w:val="single"/>
        </w:rPr>
        <w:t>Где</w:t>
      </w:r>
      <w:r w:rsidRPr="00BB59EB">
        <w:t xml:space="preserve"> - </w:t>
      </w:r>
    </w:p>
    <w:p w:rsidR="00F80C54" w:rsidRPr="00BB59EB" w:rsidRDefault="00F80C54" w:rsidP="00F80C54">
      <w:pPr>
        <w:pStyle w:val="a8"/>
        <w:spacing w:line="276" w:lineRule="auto"/>
        <w:jc w:val="both"/>
      </w:pPr>
      <w:r w:rsidRPr="00BB59EB">
        <w:t>I доп. дл</w:t>
      </w:r>
      <w:proofErr w:type="gramStart"/>
      <w:r w:rsidRPr="00BB59EB">
        <w:t>.</w:t>
      </w:r>
      <w:proofErr w:type="gramEnd"/>
      <w:r w:rsidRPr="00BB59EB">
        <w:t xml:space="preserve">- </w:t>
      </w:r>
      <w:proofErr w:type="gramStart"/>
      <w:r w:rsidRPr="00BB59EB">
        <w:t>д</w:t>
      </w:r>
      <w:proofErr w:type="gramEnd"/>
      <w:r w:rsidRPr="00BB59EB">
        <w:t xml:space="preserve">опустимая длительная токовая нагрузка вводного провода (кабеля), А; </w:t>
      </w:r>
    </w:p>
    <w:p w:rsidR="00F80C54" w:rsidRPr="00BB59EB" w:rsidRDefault="00F80C54" w:rsidP="00F80C54">
      <w:pPr>
        <w:pStyle w:val="a8"/>
        <w:spacing w:line="276" w:lineRule="auto"/>
        <w:jc w:val="both"/>
      </w:pPr>
      <w:r w:rsidRPr="00BB59EB">
        <w:t>U ф. ном</w:t>
      </w:r>
      <w:proofErr w:type="gramStart"/>
      <w:r w:rsidRPr="00BB59EB">
        <w:t>.</w:t>
      </w:r>
      <w:proofErr w:type="gramEnd"/>
      <w:r w:rsidRPr="00BB59EB">
        <w:t xml:space="preserve"> - </w:t>
      </w:r>
      <w:proofErr w:type="gramStart"/>
      <w:r w:rsidRPr="00BB59EB">
        <w:t>н</w:t>
      </w:r>
      <w:proofErr w:type="gramEnd"/>
      <w:r w:rsidRPr="00BB59EB">
        <w:t xml:space="preserve">оминальное фазное напряжение, </w:t>
      </w:r>
      <w:proofErr w:type="spellStart"/>
      <w:r w:rsidRPr="00BB59EB">
        <w:t>кВ</w:t>
      </w:r>
      <w:proofErr w:type="spellEnd"/>
      <w:r w:rsidRPr="00BB59EB">
        <w:t xml:space="preserve">; </w:t>
      </w:r>
    </w:p>
    <w:p w:rsidR="00F80C54" w:rsidRPr="00BB59EB" w:rsidRDefault="00F80C54" w:rsidP="00F80C54">
      <w:pPr>
        <w:pStyle w:val="a8"/>
        <w:spacing w:line="276" w:lineRule="auto"/>
        <w:jc w:val="both"/>
      </w:pPr>
      <w:r w:rsidRPr="00BB59EB">
        <w:rPr>
          <w:noProof/>
        </w:rPr>
        <w:lastRenderedPageBreak/>
        <mc:AlternateContent>
          <mc:Choice Requires="wps">
            <w:drawing>
              <wp:inline distT="0" distB="0" distL="0" distR="0" wp14:anchorId="5770C072" wp14:editId="1B93B52D">
                <wp:extent cx="304800" cy="304800"/>
                <wp:effectExtent l="0" t="0" r="0" b="0"/>
                <wp:docPr id="1" name="AutoShape 8" descr="https://penza.tns-e.ru/upload/medialibrary/b08/b08b6291bacbce387907422b48b275f8/index_im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penza.tns-e.ru/upload/medialibrary/b08/b08b6291bacbce387907422b48b275f8/index_img.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KcStHT5&#10;AgAAHQYAAA4AAAAAAAAAAAAAAAAALgIAAGRycy9lMm9Eb2MueG1sUEsBAi0AFAAGAAgAAAAhAEyg&#10;6SzYAAAAAwEAAA8AAAAAAAAAAAAAAAAAUwUAAGRycy9kb3ducmV2LnhtbFBLBQYAAAAABAAEAPMA&#10;AABYBgAAAAA=&#10;" filled="f" stroked="f">
                <o:lock v:ext="edit" aspectratio="t"/>
                <w10:anchorlock/>
              </v:rect>
            </w:pict>
          </mc:Fallback>
        </mc:AlternateContent>
      </w:r>
      <w:r w:rsidRPr="00BB59EB">
        <w:t xml:space="preserve"> - коэффициент мощности при максимуме нагрузки. При отсутствии данных в договоре коэффициент принимается равным 0,9; </w:t>
      </w:r>
    </w:p>
    <w:p w:rsidR="00F80C54" w:rsidRPr="00BB59EB" w:rsidRDefault="00F80C54" w:rsidP="00F80C54">
      <w:pPr>
        <w:pStyle w:val="a8"/>
        <w:spacing w:line="276" w:lineRule="auto"/>
        <w:jc w:val="both"/>
      </w:pPr>
      <w:proofErr w:type="spellStart"/>
      <w:r w:rsidRPr="00BB59EB">
        <w:t>Тб</w:t>
      </w:r>
      <w:proofErr w:type="gramStart"/>
      <w:r w:rsidRPr="00BB59EB">
        <w:t>д</w:t>
      </w:r>
      <w:proofErr w:type="spellEnd"/>
      <w:r w:rsidRPr="00BB59EB">
        <w:t>-</w:t>
      </w:r>
      <w:proofErr w:type="gramEnd"/>
      <w:r w:rsidRPr="00BB59EB">
        <w:t xml:space="preserve"> количество часов в определенном в соответствии с пунктом 196 Основных положений периоде времени, в течение которого осуществлялось бездоговорное потребление, но не более чем 26280 часов, ч. </w:t>
      </w:r>
    </w:p>
    <w:p w:rsidR="00F80C54" w:rsidRPr="00BB59EB" w:rsidRDefault="00F80C54" w:rsidP="00F80C54">
      <w:pPr>
        <w:pStyle w:val="a8"/>
        <w:spacing w:line="276" w:lineRule="auto"/>
        <w:jc w:val="both"/>
      </w:pPr>
      <w:r w:rsidRPr="00BB59EB">
        <w:t xml:space="preserve">Стоимость электрической энергии в определенном объеме бездоговорного потребления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w:t>
      </w:r>
      <w:proofErr w:type="gramStart"/>
      <w:r w:rsidRPr="00BB59EB">
        <w:t>следующих</w:t>
      </w:r>
      <w:proofErr w:type="gramEnd"/>
      <w:r w:rsidRPr="00BB59EB">
        <w:t xml:space="preserve"> составляющих: </w:t>
      </w:r>
    </w:p>
    <w:p w:rsidR="00F80C54" w:rsidRPr="00BB59EB" w:rsidRDefault="00F80C54" w:rsidP="00F80C54">
      <w:pPr>
        <w:pStyle w:val="a8"/>
        <w:numPr>
          <w:ilvl w:val="0"/>
          <w:numId w:val="10"/>
        </w:numPr>
        <w:spacing w:line="276" w:lineRule="auto"/>
        <w:jc w:val="both"/>
      </w:pPr>
      <w:r w:rsidRPr="00BB59EB">
        <w:t xml:space="preserve">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 </w:t>
      </w:r>
    </w:p>
    <w:p w:rsidR="00F80C54" w:rsidRPr="00BB59EB" w:rsidRDefault="00F80C54" w:rsidP="00F80C54">
      <w:pPr>
        <w:pStyle w:val="a8"/>
        <w:numPr>
          <w:ilvl w:val="0"/>
          <w:numId w:val="10"/>
        </w:numPr>
        <w:spacing w:line="276" w:lineRule="auto"/>
        <w:jc w:val="both"/>
      </w:pPr>
      <w:r w:rsidRPr="00BB59EB">
        <w:t xml:space="preserve">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 </w:t>
      </w:r>
    </w:p>
    <w:p w:rsidR="00F80C54" w:rsidRPr="00BB59EB" w:rsidRDefault="00F80C54" w:rsidP="00F80C54">
      <w:pPr>
        <w:pStyle w:val="a8"/>
        <w:numPr>
          <w:ilvl w:val="0"/>
          <w:numId w:val="10"/>
        </w:numPr>
        <w:spacing w:line="276" w:lineRule="auto"/>
        <w:jc w:val="both"/>
      </w:pPr>
      <w:r w:rsidRPr="00BB59EB">
        <w:t xml:space="preserve">тариф на услуги по передаче электрической энергии на соответствующем уровне напряжения; </w:t>
      </w:r>
    </w:p>
    <w:p w:rsidR="00F80C54" w:rsidRPr="00BB59EB" w:rsidRDefault="00F80C54" w:rsidP="00F80C54">
      <w:pPr>
        <w:pStyle w:val="a8"/>
        <w:numPr>
          <w:ilvl w:val="0"/>
          <w:numId w:val="10"/>
        </w:numPr>
        <w:spacing w:line="276" w:lineRule="auto"/>
        <w:jc w:val="both"/>
      </w:pPr>
      <w:r w:rsidRPr="00BB59EB">
        <w:t xml:space="preserve">сбытовая надбавка гарантирующего поставщика; </w:t>
      </w:r>
    </w:p>
    <w:p w:rsidR="00F80C54" w:rsidRPr="00BB59EB" w:rsidRDefault="00F80C54" w:rsidP="00F80C54">
      <w:pPr>
        <w:pStyle w:val="a8"/>
        <w:numPr>
          <w:ilvl w:val="0"/>
          <w:numId w:val="10"/>
        </w:numPr>
        <w:spacing w:line="276" w:lineRule="auto"/>
        <w:jc w:val="both"/>
      </w:pPr>
      <w:r w:rsidRPr="00BB59EB">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 101 Основных положений. </w:t>
      </w:r>
    </w:p>
    <w:p w:rsidR="00F80C54" w:rsidRPr="000E518F" w:rsidRDefault="00F80C54" w:rsidP="00F80C54">
      <w:pPr>
        <w:spacing w:before="100" w:beforeAutospacing="1" w:after="100" w:afterAutospacing="1"/>
        <w:ind w:left="360"/>
        <w:jc w:val="both"/>
        <w:rPr>
          <w:rFonts w:ascii="Times New Roman" w:eastAsia="Times New Roman" w:hAnsi="Times New Roman" w:cs="Times New Roman"/>
          <w:sz w:val="24"/>
          <w:szCs w:val="24"/>
          <w:lang w:eastAsia="ru-RU"/>
        </w:rPr>
      </w:pPr>
    </w:p>
    <w:sectPr w:rsidR="00F80C54" w:rsidRPr="000E5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82A"/>
    <w:multiLevelType w:val="multilevel"/>
    <w:tmpl w:val="593A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F67806"/>
    <w:multiLevelType w:val="multilevel"/>
    <w:tmpl w:val="9034B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407BA"/>
    <w:multiLevelType w:val="multilevel"/>
    <w:tmpl w:val="5B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0E2A70"/>
    <w:multiLevelType w:val="multilevel"/>
    <w:tmpl w:val="7588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CF5BD0"/>
    <w:multiLevelType w:val="multilevel"/>
    <w:tmpl w:val="21E0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DF44D1"/>
    <w:multiLevelType w:val="multilevel"/>
    <w:tmpl w:val="7250E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6874DE"/>
    <w:multiLevelType w:val="hybridMultilevel"/>
    <w:tmpl w:val="0DD89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126CC2"/>
    <w:multiLevelType w:val="multilevel"/>
    <w:tmpl w:val="322A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6E09C4"/>
    <w:multiLevelType w:val="multilevel"/>
    <w:tmpl w:val="6A885592"/>
    <w:lvl w:ilvl="0">
      <w:start w:val="1"/>
      <w:numFmt w:val="decimal"/>
      <w:lvlText w:val="%1."/>
      <w:lvlJc w:val="left"/>
      <w:pPr>
        <w:ind w:left="720" w:hanging="360"/>
      </w:pPr>
      <w:rPr>
        <w:rFonts w:cs="Times New Roman"/>
      </w:rPr>
    </w:lvl>
    <w:lvl w:ilvl="1">
      <w:start w:val="1"/>
      <w:numFmt w:val="decimal"/>
      <w:isLgl/>
      <w:lvlText w:val="%1.%2."/>
      <w:lvlJc w:val="left"/>
      <w:pPr>
        <w:ind w:left="1298" w:hanging="764"/>
      </w:pPr>
      <w:rPr>
        <w:rFonts w:cs="Times New Roman"/>
        <w:sz w:val="24"/>
      </w:rPr>
    </w:lvl>
    <w:lvl w:ilvl="2">
      <w:start w:val="1"/>
      <w:numFmt w:val="decimal"/>
      <w:isLgl/>
      <w:lvlText w:val="%1.%2.%3."/>
      <w:lvlJc w:val="left"/>
      <w:pPr>
        <w:ind w:left="1472" w:hanging="764"/>
      </w:pPr>
      <w:rPr>
        <w:rFonts w:cs="Times New Roman"/>
        <w:sz w:val="24"/>
      </w:rPr>
    </w:lvl>
    <w:lvl w:ilvl="3">
      <w:start w:val="1"/>
      <w:numFmt w:val="decimal"/>
      <w:isLgl/>
      <w:lvlText w:val="%1.%2.%3.%4."/>
      <w:lvlJc w:val="left"/>
      <w:pPr>
        <w:ind w:left="1646" w:hanging="764"/>
      </w:pPr>
      <w:rPr>
        <w:rFonts w:cs="Times New Roman"/>
      </w:rPr>
    </w:lvl>
    <w:lvl w:ilvl="4">
      <w:start w:val="1"/>
      <w:numFmt w:val="decimal"/>
      <w:isLgl/>
      <w:lvlText w:val="%1.%2.%3.%4.%5."/>
      <w:lvlJc w:val="left"/>
      <w:pPr>
        <w:ind w:left="2136" w:hanging="1080"/>
      </w:pPr>
      <w:rPr>
        <w:rFonts w:cs="Times New Roman"/>
      </w:rPr>
    </w:lvl>
    <w:lvl w:ilvl="5">
      <w:start w:val="1"/>
      <w:numFmt w:val="decimal"/>
      <w:isLgl/>
      <w:lvlText w:val="%1.%2.%3.%4.%5.%6."/>
      <w:lvlJc w:val="left"/>
      <w:pPr>
        <w:ind w:left="2310" w:hanging="1080"/>
      </w:pPr>
      <w:rPr>
        <w:rFonts w:cs="Times New Roman"/>
      </w:rPr>
    </w:lvl>
    <w:lvl w:ilvl="6">
      <w:start w:val="1"/>
      <w:numFmt w:val="decimal"/>
      <w:isLgl/>
      <w:lvlText w:val="%1.%2.%3.%4.%5.%6.%7."/>
      <w:lvlJc w:val="left"/>
      <w:pPr>
        <w:ind w:left="2844" w:hanging="1440"/>
      </w:pPr>
      <w:rPr>
        <w:rFonts w:cs="Times New Roman"/>
      </w:rPr>
    </w:lvl>
    <w:lvl w:ilvl="7">
      <w:start w:val="1"/>
      <w:numFmt w:val="decimal"/>
      <w:isLgl/>
      <w:lvlText w:val="%1.%2.%3.%4.%5.%6.%7.%8."/>
      <w:lvlJc w:val="left"/>
      <w:pPr>
        <w:ind w:left="3018" w:hanging="1440"/>
      </w:pPr>
      <w:rPr>
        <w:rFonts w:cs="Times New Roman"/>
      </w:rPr>
    </w:lvl>
    <w:lvl w:ilvl="8">
      <w:start w:val="1"/>
      <w:numFmt w:val="decimal"/>
      <w:isLgl/>
      <w:lvlText w:val="%1.%2.%3.%4.%5.%6.%7.%8.%9."/>
      <w:lvlJc w:val="left"/>
      <w:pPr>
        <w:ind w:left="3552" w:hanging="1800"/>
      </w:pPr>
      <w:rPr>
        <w:rFonts w:cs="Times New Roman"/>
      </w:rPr>
    </w:lvl>
  </w:abstractNum>
  <w:abstractNum w:abstractNumId="9">
    <w:nsid w:val="793F436F"/>
    <w:multiLevelType w:val="multilevel"/>
    <w:tmpl w:val="5340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8"/>
  </w:num>
  <w:num w:numId="5">
    <w:abstractNumId w:val="9"/>
  </w:num>
  <w:num w:numId="6">
    <w:abstractNumId w:val="0"/>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80"/>
    <w:rsid w:val="000E518F"/>
    <w:rsid w:val="00256A80"/>
    <w:rsid w:val="00702CD4"/>
    <w:rsid w:val="008C3A61"/>
    <w:rsid w:val="008C68A3"/>
    <w:rsid w:val="00954A58"/>
    <w:rsid w:val="009A1365"/>
    <w:rsid w:val="009E49D0"/>
    <w:rsid w:val="00BB59EB"/>
    <w:rsid w:val="00BF76FD"/>
    <w:rsid w:val="00D676DB"/>
    <w:rsid w:val="00F80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A80"/>
    <w:pPr>
      <w:ind w:left="720"/>
      <w:contextualSpacing/>
    </w:pPr>
  </w:style>
  <w:style w:type="character" w:styleId="a4">
    <w:name w:val="Strong"/>
    <w:basedOn w:val="a0"/>
    <w:uiPriority w:val="22"/>
    <w:qFormat/>
    <w:rsid w:val="00BF76FD"/>
    <w:rPr>
      <w:b/>
      <w:bCs/>
    </w:rPr>
  </w:style>
  <w:style w:type="character" w:styleId="a5">
    <w:name w:val="Hyperlink"/>
    <w:basedOn w:val="a0"/>
    <w:uiPriority w:val="99"/>
    <w:semiHidden/>
    <w:unhideWhenUsed/>
    <w:rsid w:val="00BF76FD"/>
    <w:rPr>
      <w:color w:val="0000FF"/>
      <w:u w:val="single"/>
    </w:rPr>
  </w:style>
  <w:style w:type="paragraph" w:customStyle="1" w:styleId="ConsPlusNormal">
    <w:name w:val="ConsPlusNormal"/>
    <w:uiPriority w:val="99"/>
    <w:rsid w:val="00D676DB"/>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D676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76DB"/>
    <w:rPr>
      <w:rFonts w:ascii="Tahoma" w:hAnsi="Tahoma" w:cs="Tahoma"/>
      <w:sz w:val="16"/>
      <w:szCs w:val="16"/>
    </w:rPr>
  </w:style>
  <w:style w:type="paragraph" w:styleId="a8">
    <w:name w:val="Normal (Web)"/>
    <w:basedOn w:val="a"/>
    <w:uiPriority w:val="99"/>
    <w:semiHidden/>
    <w:unhideWhenUsed/>
    <w:rsid w:val="00F80C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A80"/>
    <w:pPr>
      <w:ind w:left="720"/>
      <w:contextualSpacing/>
    </w:pPr>
  </w:style>
  <w:style w:type="character" w:styleId="a4">
    <w:name w:val="Strong"/>
    <w:basedOn w:val="a0"/>
    <w:uiPriority w:val="22"/>
    <w:qFormat/>
    <w:rsid w:val="00BF76FD"/>
    <w:rPr>
      <w:b/>
      <w:bCs/>
    </w:rPr>
  </w:style>
  <w:style w:type="character" w:styleId="a5">
    <w:name w:val="Hyperlink"/>
    <w:basedOn w:val="a0"/>
    <w:uiPriority w:val="99"/>
    <w:semiHidden/>
    <w:unhideWhenUsed/>
    <w:rsid w:val="00BF76FD"/>
    <w:rPr>
      <w:color w:val="0000FF"/>
      <w:u w:val="single"/>
    </w:rPr>
  </w:style>
  <w:style w:type="paragraph" w:customStyle="1" w:styleId="ConsPlusNormal">
    <w:name w:val="ConsPlusNormal"/>
    <w:uiPriority w:val="99"/>
    <w:rsid w:val="00D676DB"/>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D676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76DB"/>
    <w:rPr>
      <w:rFonts w:ascii="Tahoma" w:hAnsi="Tahoma" w:cs="Tahoma"/>
      <w:sz w:val="16"/>
      <w:szCs w:val="16"/>
    </w:rPr>
  </w:style>
  <w:style w:type="paragraph" w:styleId="a8">
    <w:name w:val="Normal (Web)"/>
    <w:basedOn w:val="a"/>
    <w:uiPriority w:val="99"/>
    <w:semiHidden/>
    <w:unhideWhenUsed/>
    <w:rsid w:val="00F80C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0175">
      <w:bodyDiv w:val="1"/>
      <w:marLeft w:val="0"/>
      <w:marRight w:val="0"/>
      <w:marTop w:val="0"/>
      <w:marBottom w:val="0"/>
      <w:divBdr>
        <w:top w:val="none" w:sz="0" w:space="0" w:color="auto"/>
        <w:left w:val="none" w:sz="0" w:space="0" w:color="auto"/>
        <w:bottom w:val="none" w:sz="0" w:space="0" w:color="auto"/>
        <w:right w:val="none" w:sz="0" w:space="0" w:color="auto"/>
      </w:divBdr>
    </w:div>
    <w:div w:id="1613124055">
      <w:bodyDiv w:val="1"/>
      <w:marLeft w:val="0"/>
      <w:marRight w:val="0"/>
      <w:marTop w:val="0"/>
      <w:marBottom w:val="0"/>
      <w:divBdr>
        <w:top w:val="none" w:sz="0" w:space="0" w:color="auto"/>
        <w:left w:val="none" w:sz="0" w:space="0" w:color="auto"/>
        <w:bottom w:val="none" w:sz="0" w:space="0" w:color="auto"/>
        <w:right w:val="none" w:sz="0" w:space="0" w:color="auto"/>
      </w:divBdr>
    </w:div>
    <w:div w:id="206694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penza.tns-e.ru/legal-entities/raschetnye-sposoby-opredeleniya-obema-potreblennoy-elektricheskoy-energii-moshchnosti-i-osnovaniya/" TargetMode="Externa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https://penza.tns-e.ru/legal-entities/raschetnye-sposoby-opredeleniya-obema-potreblennoy-elektricheskoy-energii-moshchnosti-i-osnovaniy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130498/" TargetMode="External"/><Relationship Id="rId11" Type="http://schemas.openxmlformats.org/officeDocument/2006/relationships/hyperlink" Target="https://login.consultant.ru/link/?req=doc&amp;base=LAW&amp;n=327678&amp;date=12.12.2019&amp;dst=100912&amp;fld=134%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s://penza.tns-e.ru/legal-entities/raschetnye-sposoby-opredeleniya-obema-potreblennoy-elektricheskoy-energii-moshchnosti-i-osn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3217</Words>
  <Characters>18339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 Валентина Леонидовна</dc:creator>
  <cp:lastModifiedBy>Рогова Валентина Леонидовна</cp:lastModifiedBy>
  <cp:revision>2</cp:revision>
  <dcterms:created xsi:type="dcterms:W3CDTF">2021-05-05T10:06:00Z</dcterms:created>
  <dcterms:modified xsi:type="dcterms:W3CDTF">2021-05-05T10:46:00Z</dcterms:modified>
</cp:coreProperties>
</file>